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7B71483D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</w:t>
      </w:r>
      <w:r w:rsidR="00490708">
        <w:rPr>
          <w:rFonts w:asciiTheme="minorHAnsi" w:hAnsiTheme="minorHAnsi"/>
          <w:b/>
          <w:sz w:val="28"/>
        </w:rPr>
        <w:t>4035</w:t>
      </w:r>
      <w:r w:rsidR="006C10CA">
        <w:rPr>
          <w:rFonts w:asciiTheme="minorHAnsi" w:hAnsiTheme="minorHAnsi"/>
          <w:b/>
          <w:sz w:val="28"/>
        </w:rPr>
        <w:t xml:space="preserve"> </w:t>
      </w:r>
      <w:r w:rsidR="00490708">
        <w:rPr>
          <w:rFonts w:asciiTheme="minorHAnsi" w:hAnsiTheme="minorHAnsi"/>
          <w:b/>
          <w:sz w:val="28"/>
        </w:rPr>
        <w:t>Salud Pública</w:t>
      </w:r>
      <w:r w:rsidR="00F122B8">
        <w:rPr>
          <w:rFonts w:asciiTheme="minorHAnsi" w:hAnsiTheme="minorHAnsi"/>
          <w:b/>
          <w:sz w:val="28"/>
        </w:rPr>
        <w:t xml:space="preserve"> y Epidemiología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AF4345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</w:t>
      </w:r>
    </w:p>
    <w:p w14:paraId="62A2002C" w14:textId="4C3805AB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7D4EF9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4F7BF9A5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490708" w:rsidRPr="00490708">
        <w:rPr>
          <w:rFonts w:asciiTheme="minorHAnsi" w:hAnsiTheme="minorHAnsi"/>
        </w:rPr>
        <w:t>Salud Pública</w:t>
      </w:r>
      <w:r w:rsidR="00F122B8">
        <w:rPr>
          <w:rFonts w:asciiTheme="minorHAnsi" w:hAnsiTheme="minorHAnsi"/>
        </w:rPr>
        <w:t xml:space="preserve"> y Epidemiología</w:t>
      </w:r>
      <w:r w:rsidR="000E2E17">
        <w:rPr>
          <w:rFonts w:asciiTheme="minorHAnsi" w:hAnsiTheme="minorHAnsi"/>
        </w:rPr>
        <w:t>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0A7B8E84" w:rsidR="003C6D77" w:rsidRPr="003C6D77" w:rsidRDefault="00D60113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>
        <w:rPr>
          <w:rFonts w:asciiTheme="minorHAnsi" w:hAnsiTheme="minorHAnsi"/>
        </w:rPr>
        <w:t>el área de</w:t>
      </w:r>
      <w:r w:rsidR="00566EC9">
        <w:rPr>
          <w:rFonts w:asciiTheme="minorHAnsi" w:hAnsiTheme="minorHAnsi"/>
        </w:rPr>
        <w:t xml:space="preserve"> </w:t>
      </w:r>
      <w:r w:rsidR="00490708" w:rsidRPr="00490708">
        <w:rPr>
          <w:rFonts w:asciiTheme="minorHAnsi" w:hAnsiTheme="minorHAnsi"/>
        </w:rPr>
        <w:t xml:space="preserve">Salud Pública </w:t>
      </w:r>
      <w:r>
        <w:rPr>
          <w:rFonts w:asciiTheme="minorHAnsi" w:hAnsiTheme="minorHAnsi"/>
        </w:rPr>
        <w:t>dentro de la asignatura Salud Pública y Epidemiología</w:t>
      </w:r>
      <w:r w:rsidR="003C6D77" w:rsidRPr="003C6D7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El área de </w:t>
      </w:r>
      <w:r w:rsidR="00B3259A">
        <w:rPr>
          <w:rFonts w:asciiTheme="minorHAnsi" w:hAnsiTheme="minorHAnsi"/>
        </w:rPr>
        <w:t>E</w:t>
      </w:r>
      <w:r>
        <w:rPr>
          <w:rFonts w:asciiTheme="minorHAnsi" w:hAnsiTheme="minorHAnsi"/>
        </w:rPr>
        <w:t>pidemiología es impartida por otro docente</w:t>
      </w:r>
      <w:r w:rsidR="00B3259A">
        <w:rPr>
          <w:rFonts w:asciiTheme="minorHAnsi" w:hAnsiTheme="minorHAnsi"/>
        </w:rPr>
        <w:t xml:space="preserve">. </w:t>
      </w:r>
      <w:r w:rsidR="003C6D77" w:rsidRPr="003C6D77">
        <w:rPr>
          <w:rFonts w:asciiTheme="minorHAnsi" w:hAnsiTheme="minorHAnsi"/>
        </w:rPr>
        <w:t>Est</w:t>
      </w:r>
      <w:r w:rsidR="00566EC9">
        <w:rPr>
          <w:rFonts w:asciiTheme="minorHAnsi" w:hAnsiTheme="minorHAnsi"/>
        </w:rPr>
        <w:t>a asignatura</w:t>
      </w:r>
      <w:r w:rsidR="003C6D77" w:rsidRPr="003C6D77">
        <w:rPr>
          <w:rFonts w:asciiTheme="minorHAnsi" w:hAnsiTheme="minorHAnsi"/>
        </w:rPr>
        <w:t xml:space="preserve"> </w:t>
      </w:r>
      <w:r w:rsidR="00B3259A">
        <w:rPr>
          <w:rFonts w:asciiTheme="minorHAnsi" w:hAnsiTheme="minorHAnsi"/>
        </w:rPr>
        <w:t>es parte</w:t>
      </w:r>
      <w:r w:rsidR="003C6D77" w:rsidRPr="003C6D77">
        <w:rPr>
          <w:rFonts w:asciiTheme="minorHAnsi" w:hAnsiTheme="minorHAnsi"/>
        </w:rPr>
        <w:t xml:space="preserve"> del ciclo profesional </w:t>
      </w:r>
      <w:r w:rsidR="00F122B8">
        <w:rPr>
          <w:rFonts w:asciiTheme="minorHAnsi" w:hAnsiTheme="minorHAnsi"/>
        </w:rPr>
        <w:t>para las tres menciones de la Carrera</w:t>
      </w:r>
      <w:r w:rsidR="00B3259A">
        <w:rPr>
          <w:rFonts w:asciiTheme="minorHAnsi" w:hAnsiTheme="minorHAnsi"/>
        </w:rPr>
        <w:t xml:space="preserve"> (Laboratorio Clínico, Hematología y Medicina Transfusional; Imaginología y Física Médica; y Oftalmología y Optometría)</w:t>
      </w:r>
      <w:r w:rsidR="00490708">
        <w:rPr>
          <w:rFonts w:asciiTheme="minorHAnsi" w:hAnsiTheme="minorHAnsi"/>
        </w:rPr>
        <w:t>.</w:t>
      </w:r>
    </w:p>
    <w:p w14:paraId="01EF4EEA" w14:textId="38B1FC38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490708" w:rsidRPr="00490708">
        <w:rPr>
          <w:rFonts w:asciiTheme="minorHAnsi" w:hAnsiTheme="minorHAnsi"/>
        </w:rPr>
        <w:t>Salud Pública</w:t>
      </w:r>
      <w:r w:rsidR="00766FF3" w:rsidRPr="00766FF3">
        <w:rPr>
          <w:rFonts w:asciiTheme="minorHAnsi" w:hAnsiTheme="minorHAnsi"/>
        </w:rPr>
        <w:t xml:space="preserve"> </w:t>
      </w:r>
      <w:r w:rsidR="00F122B8">
        <w:rPr>
          <w:rFonts w:asciiTheme="minorHAnsi" w:hAnsiTheme="minorHAnsi"/>
        </w:rPr>
        <w:t xml:space="preserve">y Epidemiología </w:t>
      </w:r>
      <w:r w:rsidR="003C6D77" w:rsidRPr="003C6D77">
        <w:rPr>
          <w:rFonts w:asciiTheme="minorHAnsi" w:hAnsiTheme="minorHAnsi"/>
        </w:rPr>
        <w:t xml:space="preserve">se dicta en el </w:t>
      </w:r>
      <w:r w:rsidR="00490708">
        <w:rPr>
          <w:rFonts w:asciiTheme="minorHAnsi" w:hAnsiTheme="minorHAnsi"/>
          <w:b/>
          <w:bCs/>
        </w:rPr>
        <w:t>séptimo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F122B8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</w:t>
      </w:r>
      <w:r w:rsidR="00766FF3">
        <w:rPr>
          <w:rFonts w:asciiTheme="minorHAnsi" w:hAnsiTheme="minorHAnsi"/>
        </w:rPr>
        <w:t>1</w:t>
      </w:r>
      <w:r w:rsidR="00EF59FA">
        <w:rPr>
          <w:rFonts w:asciiTheme="minorHAnsi" w:hAnsiTheme="minorHAnsi"/>
        </w:rPr>
        <w:t xml:space="preserve"> sesi</w:t>
      </w:r>
      <w:r w:rsidR="00766FF3">
        <w:rPr>
          <w:rFonts w:asciiTheme="minorHAnsi" w:hAnsiTheme="minorHAnsi"/>
        </w:rPr>
        <w:t>ón</w:t>
      </w:r>
      <w:r w:rsidR="00EF59FA">
        <w:rPr>
          <w:rFonts w:asciiTheme="minorHAnsi" w:hAnsiTheme="minorHAnsi"/>
        </w:rPr>
        <w:t xml:space="preserve"> de cátedra</w:t>
      </w:r>
      <w:r w:rsidR="00D21AC8">
        <w:rPr>
          <w:rFonts w:asciiTheme="minorHAnsi" w:hAnsiTheme="minorHAnsi"/>
        </w:rPr>
        <w:t xml:space="preserve"> </w:t>
      </w:r>
      <w:r w:rsidR="00D60113">
        <w:rPr>
          <w:rFonts w:asciiTheme="minorHAnsi" w:hAnsiTheme="minorHAnsi"/>
        </w:rPr>
        <w:t xml:space="preserve">para Salud Pública, 1 sesión de cátedra para Epidemiología </w:t>
      </w:r>
      <w:r w:rsidR="00D21AC8">
        <w:rPr>
          <w:rFonts w:asciiTheme="minorHAnsi" w:hAnsiTheme="minorHAnsi"/>
        </w:rPr>
        <w:t xml:space="preserve">y </w:t>
      </w:r>
      <w:r w:rsidR="00490708">
        <w:rPr>
          <w:rFonts w:asciiTheme="minorHAnsi" w:hAnsiTheme="minorHAnsi"/>
        </w:rPr>
        <w:t>1</w:t>
      </w:r>
      <w:r w:rsidR="00D21AC8">
        <w:rPr>
          <w:rFonts w:asciiTheme="minorHAnsi" w:hAnsiTheme="minorHAnsi"/>
        </w:rPr>
        <w:t xml:space="preserve"> sesión de Taller</w:t>
      </w:r>
      <w:r w:rsidR="00EF59FA">
        <w:rPr>
          <w:rFonts w:asciiTheme="minorHAnsi" w:hAnsiTheme="minorHAnsi"/>
        </w:rPr>
        <w:t xml:space="preserve">, donde cada sesión es de 80 minutos. </w:t>
      </w:r>
      <w:r w:rsidR="00C30D1E">
        <w:rPr>
          <w:rFonts w:asciiTheme="minorHAnsi" w:hAnsiTheme="minorHAnsi"/>
        </w:rPr>
        <w:t xml:space="preserve">El curso está dividido en </w:t>
      </w:r>
      <w:r w:rsidR="00B3259A">
        <w:rPr>
          <w:rFonts w:asciiTheme="minorHAnsi" w:hAnsiTheme="minorHAnsi"/>
        </w:rPr>
        <w:t>4</w:t>
      </w:r>
      <w:r w:rsidR="00C30D1E">
        <w:rPr>
          <w:rFonts w:asciiTheme="minorHAnsi" w:hAnsiTheme="minorHAnsi"/>
        </w:rPr>
        <w:t xml:space="preserve"> secciones para los talleres pero la cátedra es común para todos los estudiantes.</w:t>
      </w:r>
      <w:r w:rsidR="00D60113">
        <w:rPr>
          <w:rFonts w:asciiTheme="minorHAnsi" w:hAnsiTheme="minorHAnsi"/>
        </w:rPr>
        <w:t xml:space="preserve"> En la sesión de Taller se abordan temas tanto de Salud Pública como de Epidemiología, en forma integrada.</w:t>
      </w:r>
    </w:p>
    <w:p w14:paraId="2AAD31BE" w14:textId="31A9448D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</w:t>
      </w:r>
      <w:r w:rsidR="00D60113">
        <w:rPr>
          <w:rFonts w:asciiTheme="minorHAnsi" w:hAnsiTheme="minorHAnsi"/>
        </w:rPr>
        <w:t xml:space="preserve">en el área de Salud Pública </w:t>
      </w:r>
      <w:r>
        <w:rPr>
          <w:rFonts w:asciiTheme="minorHAnsi" w:hAnsiTheme="minorHAnsi"/>
        </w:rPr>
        <w:t xml:space="preserve">es: </w:t>
      </w:r>
    </w:p>
    <w:p w14:paraId="16039340" w14:textId="6DCE53C7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</w:t>
      </w:r>
      <w:r>
        <w:rPr>
          <w:rFonts w:asciiTheme="minorHAnsi" w:hAnsiTheme="minorHAnsi"/>
        </w:rPr>
        <w:t xml:space="preserve">: </w:t>
      </w:r>
      <w:r w:rsidR="00766FF3">
        <w:rPr>
          <w:rFonts w:asciiTheme="minorHAnsi" w:hAnsiTheme="minorHAnsi"/>
        </w:rPr>
        <w:t>m</w:t>
      </w:r>
      <w:r w:rsidR="00490708">
        <w:rPr>
          <w:rFonts w:asciiTheme="minorHAnsi" w:hAnsiTheme="minorHAnsi"/>
        </w:rPr>
        <w:t>artes</w:t>
      </w:r>
      <w:r>
        <w:rPr>
          <w:rFonts w:asciiTheme="minorHAnsi" w:hAnsiTheme="minorHAnsi"/>
        </w:rPr>
        <w:t xml:space="preserve"> de 1</w:t>
      </w:r>
      <w:r w:rsidR="00490708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490708">
        <w:rPr>
          <w:rFonts w:asciiTheme="minorHAnsi" w:hAnsiTheme="minorHAnsi"/>
        </w:rPr>
        <w:t>25</w:t>
      </w:r>
      <w:r>
        <w:rPr>
          <w:rFonts w:asciiTheme="minorHAnsi" w:hAnsiTheme="minorHAnsi"/>
        </w:rPr>
        <w:t xml:space="preserve"> a 1</w:t>
      </w:r>
      <w:r w:rsidR="00490708">
        <w:rPr>
          <w:rFonts w:asciiTheme="minorHAnsi" w:hAnsiTheme="minorHAnsi"/>
        </w:rPr>
        <w:t>8</w:t>
      </w:r>
      <w:r>
        <w:rPr>
          <w:rFonts w:asciiTheme="minorHAnsi" w:hAnsiTheme="minorHAnsi"/>
        </w:rPr>
        <w:t>:</w:t>
      </w:r>
      <w:r w:rsidR="00490708">
        <w:rPr>
          <w:rFonts w:asciiTheme="minorHAnsi" w:hAnsiTheme="minorHAnsi"/>
        </w:rPr>
        <w:t>45</w:t>
      </w:r>
      <w:r>
        <w:rPr>
          <w:rFonts w:asciiTheme="minorHAnsi" w:hAnsiTheme="minorHAnsi"/>
        </w:rPr>
        <w:t xml:space="preserve"> h</w:t>
      </w:r>
      <w:r w:rsidR="00E85A52">
        <w:rPr>
          <w:rFonts w:asciiTheme="minorHAnsi" w:hAnsiTheme="minorHAnsi"/>
        </w:rPr>
        <w:t xml:space="preserve"> (</w:t>
      </w:r>
      <w:r w:rsidR="005031CB">
        <w:rPr>
          <w:rFonts w:asciiTheme="minorHAnsi" w:hAnsiTheme="minorHAnsi"/>
        </w:rPr>
        <w:t>1</w:t>
      </w:r>
      <w:r w:rsidR="00E85A52">
        <w:rPr>
          <w:rFonts w:asciiTheme="minorHAnsi" w:hAnsiTheme="minorHAnsi"/>
        </w:rPr>
        <w:t xml:space="preserve"> sesi</w:t>
      </w:r>
      <w:r w:rsidR="005031CB">
        <w:rPr>
          <w:rFonts w:asciiTheme="minorHAnsi" w:hAnsiTheme="minorHAnsi"/>
        </w:rPr>
        <w:t>ón</w:t>
      </w:r>
      <w:r w:rsidR="00D60113">
        <w:rPr>
          <w:rFonts w:asciiTheme="minorHAnsi" w:hAnsiTheme="minorHAnsi"/>
        </w:rPr>
        <w:t xml:space="preserve"> Salud Pública</w:t>
      </w:r>
      <w:r w:rsidR="00E85A52">
        <w:rPr>
          <w:rFonts w:asciiTheme="minorHAnsi" w:hAnsiTheme="minorHAnsi"/>
        </w:rPr>
        <w:t>)</w:t>
      </w:r>
      <w:r w:rsidR="00B3259A">
        <w:rPr>
          <w:rFonts w:asciiTheme="minorHAnsi" w:hAnsiTheme="minorHAnsi"/>
        </w:rPr>
        <w:t>.</w:t>
      </w:r>
    </w:p>
    <w:p w14:paraId="3865009C" w14:textId="3675A730" w:rsidR="00731524" w:rsidRPr="003C6D77" w:rsidRDefault="00D21AC8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D21AC8">
        <w:rPr>
          <w:rFonts w:asciiTheme="minorHAnsi" w:hAnsiTheme="minorHAnsi"/>
          <w:u w:val="single"/>
        </w:rPr>
        <w:t>Taller</w:t>
      </w:r>
      <w:r>
        <w:rPr>
          <w:rFonts w:asciiTheme="minorHAnsi" w:hAnsiTheme="minorHAnsi"/>
        </w:rPr>
        <w:t xml:space="preserve">: </w:t>
      </w:r>
      <w:r w:rsidR="00AE4CD7">
        <w:rPr>
          <w:rFonts w:asciiTheme="minorHAnsi" w:hAnsiTheme="minorHAnsi"/>
        </w:rPr>
        <w:t xml:space="preserve">sección 1: </w:t>
      </w:r>
      <w:r w:rsidR="00766FF3" w:rsidRPr="00DE7DB2">
        <w:rPr>
          <w:rFonts w:asciiTheme="minorHAnsi" w:hAnsiTheme="minorHAnsi"/>
          <w:b/>
          <w:bCs/>
        </w:rPr>
        <w:t>m</w:t>
      </w:r>
      <w:r w:rsidR="00490708" w:rsidRPr="00DE7DB2">
        <w:rPr>
          <w:rFonts w:asciiTheme="minorHAnsi" w:hAnsiTheme="minorHAnsi"/>
          <w:b/>
          <w:bCs/>
        </w:rPr>
        <w:t>artes</w:t>
      </w:r>
      <w:r>
        <w:rPr>
          <w:rFonts w:asciiTheme="minorHAnsi" w:hAnsiTheme="minorHAnsi"/>
        </w:rPr>
        <w:t xml:space="preserve"> de 1</w:t>
      </w:r>
      <w:r w:rsidR="00766FF3">
        <w:rPr>
          <w:rFonts w:asciiTheme="minorHAnsi" w:hAnsiTheme="minorHAnsi"/>
        </w:rPr>
        <w:t>6</w:t>
      </w:r>
      <w:r>
        <w:rPr>
          <w:rFonts w:asciiTheme="minorHAnsi" w:hAnsiTheme="minorHAnsi"/>
        </w:rPr>
        <w:t>:</w:t>
      </w:r>
      <w:r w:rsidR="00766FF3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a 1</w:t>
      </w:r>
      <w:r w:rsidR="00766FF3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766FF3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h (1 sesión)</w:t>
      </w:r>
      <w:r w:rsidR="00490708">
        <w:rPr>
          <w:rFonts w:asciiTheme="minorHAnsi" w:hAnsiTheme="minorHAnsi"/>
        </w:rPr>
        <w:t xml:space="preserve">, </w:t>
      </w:r>
      <w:r w:rsidR="00AE4CD7">
        <w:rPr>
          <w:rFonts w:asciiTheme="minorHAnsi" w:hAnsiTheme="minorHAnsi"/>
        </w:rPr>
        <w:t xml:space="preserve">sección 2: </w:t>
      </w:r>
      <w:r w:rsidR="00490708" w:rsidRPr="00DE7DB2">
        <w:rPr>
          <w:rFonts w:asciiTheme="minorHAnsi" w:hAnsiTheme="minorHAnsi"/>
          <w:b/>
          <w:bCs/>
        </w:rPr>
        <w:t>miércoles</w:t>
      </w:r>
      <w:r w:rsidR="00490708">
        <w:rPr>
          <w:rFonts w:asciiTheme="minorHAnsi" w:hAnsiTheme="minorHAnsi"/>
        </w:rPr>
        <w:t xml:space="preserve"> de 1</w:t>
      </w:r>
      <w:r w:rsidR="009B19C4">
        <w:rPr>
          <w:rFonts w:asciiTheme="minorHAnsi" w:hAnsiTheme="minorHAnsi"/>
        </w:rPr>
        <w:t>6</w:t>
      </w:r>
      <w:r w:rsidR="00490708">
        <w:rPr>
          <w:rFonts w:asciiTheme="minorHAnsi" w:hAnsiTheme="minorHAnsi"/>
        </w:rPr>
        <w:t>:</w:t>
      </w:r>
      <w:r w:rsidR="009B19C4">
        <w:rPr>
          <w:rFonts w:asciiTheme="minorHAnsi" w:hAnsiTheme="minorHAnsi"/>
        </w:rPr>
        <w:t>00 a 17:20 h (1 sesión),</w:t>
      </w:r>
      <w:r w:rsidR="00C30D1E">
        <w:rPr>
          <w:rFonts w:asciiTheme="minorHAnsi" w:hAnsiTheme="minorHAnsi"/>
        </w:rPr>
        <w:t xml:space="preserve"> sección 3: </w:t>
      </w:r>
      <w:r w:rsidR="00DE7DB2" w:rsidRPr="00DE7DB2">
        <w:rPr>
          <w:rFonts w:asciiTheme="minorHAnsi" w:hAnsiTheme="minorHAnsi"/>
          <w:b/>
          <w:bCs/>
        </w:rPr>
        <w:t>miércoles</w:t>
      </w:r>
      <w:r w:rsidR="00DE7DB2">
        <w:rPr>
          <w:rFonts w:asciiTheme="minorHAnsi" w:hAnsiTheme="minorHAnsi"/>
        </w:rPr>
        <w:t xml:space="preserve"> </w:t>
      </w:r>
      <w:r w:rsidR="00C30D1E">
        <w:rPr>
          <w:rFonts w:asciiTheme="minorHAnsi" w:hAnsiTheme="minorHAnsi"/>
        </w:rPr>
        <w:t>17:25 a 18:45 h (1 sesión)</w:t>
      </w:r>
      <w:r w:rsidR="00B3259A">
        <w:rPr>
          <w:rFonts w:asciiTheme="minorHAnsi" w:hAnsiTheme="minorHAnsi"/>
        </w:rPr>
        <w:t xml:space="preserve">, sección 4: </w:t>
      </w:r>
      <w:r w:rsidR="00DE7DB2" w:rsidRPr="00DE7DB2">
        <w:rPr>
          <w:rFonts w:asciiTheme="minorHAnsi" w:hAnsiTheme="minorHAnsi"/>
          <w:b/>
          <w:bCs/>
        </w:rPr>
        <w:t>miércoles</w:t>
      </w:r>
      <w:r w:rsidR="00DE7DB2">
        <w:rPr>
          <w:rFonts w:asciiTheme="minorHAnsi" w:hAnsiTheme="minorHAnsi"/>
        </w:rPr>
        <w:t xml:space="preserve"> </w:t>
      </w:r>
      <w:r w:rsidR="00B3259A">
        <w:rPr>
          <w:rFonts w:asciiTheme="minorHAnsi" w:hAnsiTheme="minorHAnsi"/>
        </w:rPr>
        <w:t>18:50 a 20:10 h (1 sesión)</w:t>
      </w:r>
      <w:r w:rsidR="00C30D1E">
        <w:rPr>
          <w:rFonts w:asciiTheme="minorHAnsi" w:hAnsiTheme="minorHAnsi"/>
        </w:rPr>
        <w:t>.</w:t>
      </w:r>
      <w:r w:rsidR="009B19C4">
        <w:rPr>
          <w:rFonts w:asciiTheme="minorHAnsi" w:hAnsiTheme="minorHAnsi"/>
        </w:rPr>
        <w:t xml:space="preserve"> </w:t>
      </w:r>
      <w:r w:rsidR="00490708">
        <w:rPr>
          <w:rFonts w:asciiTheme="minorHAnsi" w:hAnsiTheme="minorHAnsi"/>
        </w:rPr>
        <w:t xml:space="preserve"> </w:t>
      </w:r>
    </w:p>
    <w:p w14:paraId="408D62C9" w14:textId="393D24EF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</w:t>
      </w:r>
      <w:r w:rsidR="005D71EC">
        <w:rPr>
          <w:rFonts w:asciiTheme="minorHAnsi" w:hAnsiTheme="minorHAnsi"/>
        </w:rPr>
        <w:t>martes</w:t>
      </w:r>
      <w:r>
        <w:rPr>
          <w:rFonts w:asciiTheme="minorHAnsi" w:hAnsiTheme="minorHAnsi"/>
        </w:rPr>
        <w:t xml:space="preserve"> </w:t>
      </w:r>
      <w:r w:rsidR="005D71E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210EA617" w14:textId="77777777" w:rsidR="00DE7DB2" w:rsidRDefault="00DE7DB2" w:rsidP="00E2054E">
      <w:pPr>
        <w:pStyle w:val="NormalWeb"/>
        <w:ind w:left="720"/>
        <w:jc w:val="both"/>
        <w:rPr>
          <w:rFonts w:asciiTheme="minorHAnsi" w:hAnsiTheme="minorHAnsi"/>
        </w:rPr>
      </w:pPr>
    </w:p>
    <w:p w14:paraId="54B32712" w14:textId="5A9BAB7C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lastRenderedPageBreak/>
        <w:t>Al final del curso los estudiantes estarán en condiciones de:</w:t>
      </w:r>
    </w:p>
    <w:p w14:paraId="4F7D212D" w14:textId="77777777" w:rsidR="00821625" w:rsidRPr="00821625" w:rsidRDefault="00821625" w:rsidP="00821625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Conocer y ser capaz de relacionar e integrar los problemas de salud que han trascendido en el tiempo.</w:t>
      </w:r>
    </w:p>
    <w:p w14:paraId="0E6EA47A" w14:textId="77777777" w:rsidR="00821625" w:rsidRPr="00821625" w:rsidRDefault="00821625" w:rsidP="00821625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Reconocer y describir la problemática actual de la Salud Pública en los diferentes niveles de atención.</w:t>
      </w:r>
    </w:p>
    <w:p w14:paraId="45A889BA" w14:textId="77777777" w:rsidR="00821625" w:rsidRPr="00821625" w:rsidRDefault="00821625" w:rsidP="00821625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Definir estrategias de prevención de riesgos en los ámbitos de la salud ocupacional, ambiental y en general de la salud pública del país.</w:t>
      </w:r>
    </w:p>
    <w:p w14:paraId="744CFD0F" w14:textId="79813E80" w:rsidR="0088128B" w:rsidRPr="00821625" w:rsidRDefault="00821625" w:rsidP="00821625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Proponer nuevos enfoques y soluciones para los problemas de salud ambiental y mejorar calidad de vida.</w:t>
      </w:r>
    </w:p>
    <w:p w14:paraId="4895304B" w14:textId="77777777" w:rsidR="0088128B" w:rsidRPr="0088128B" w:rsidRDefault="0088128B" w:rsidP="0088128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Correlacionar las estructuras anatómicas en su aspecto normal y patológico en las distintas imágenes médicas.</w:t>
      </w:r>
    </w:p>
    <w:p w14:paraId="1E1C8016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2FDF4504" w14:textId="2AAF31F6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Las Unidades de Aprendizaje de la asignatura son:</w:t>
      </w:r>
    </w:p>
    <w:p w14:paraId="04BCE22E" w14:textId="5458F541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 xml:space="preserve">Introducción a la salud pública </w:t>
      </w:r>
    </w:p>
    <w:p w14:paraId="4C8E26EA" w14:textId="5AAD67E8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 xml:space="preserve">Atención primaria y comunitaria </w:t>
      </w:r>
    </w:p>
    <w:p w14:paraId="0477CFA1" w14:textId="1D6A3748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 xml:space="preserve">Sistemas de salud </w:t>
      </w:r>
    </w:p>
    <w:p w14:paraId="03650731" w14:textId="7BEDE880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Política y economía en salud pública</w:t>
      </w:r>
    </w:p>
    <w:p w14:paraId="55D1A303" w14:textId="48A29369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 xml:space="preserve">Nutrición en salud </w:t>
      </w:r>
    </w:p>
    <w:p w14:paraId="66679D7A" w14:textId="6E9718F0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 xml:space="preserve">Salud ocupacional </w:t>
      </w:r>
    </w:p>
    <w:p w14:paraId="30114709" w14:textId="0A901994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Salud ambiental</w:t>
      </w:r>
    </w:p>
    <w:p w14:paraId="7F159463" w14:textId="7F63C4AC" w:rsidR="00821625" w:rsidRPr="00821625" w:rsidRDefault="00821625" w:rsidP="00821625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Desastres y su impacto en la salud</w:t>
      </w:r>
    </w:p>
    <w:p w14:paraId="40B954F0" w14:textId="788FE293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</w:t>
      </w:r>
      <w:r w:rsidR="001721EE">
        <w:rPr>
          <w:rFonts w:asciiTheme="minorHAnsi" w:hAnsiTheme="minorHAnsi"/>
        </w:rPr>
        <w:t xml:space="preserve">de coordinación con el docente de Epidemiología que integra también la asignatura y </w:t>
      </w:r>
      <w:r w:rsidRPr="003C6D77">
        <w:rPr>
          <w:rFonts w:asciiTheme="minorHAnsi" w:hAnsiTheme="minorHAnsi"/>
        </w:rPr>
        <w:t xml:space="preserve">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86065E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04C5F792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</w:t>
      </w:r>
      <w:r w:rsidR="00465B43">
        <w:rPr>
          <w:rFonts w:asciiTheme="minorHAnsi" w:hAnsiTheme="minorHAnsi"/>
        </w:rPr>
        <w:t xml:space="preserve"> o Profesional de la Salud</w:t>
      </w:r>
      <w:r w:rsidR="00616986">
        <w:rPr>
          <w:rFonts w:asciiTheme="minorHAnsi" w:hAnsiTheme="minorHAnsi"/>
        </w:rPr>
        <w:t>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6D3CBACA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47A8E">
        <w:rPr>
          <w:rFonts w:asciiTheme="minorHAnsi" w:hAnsiTheme="minorHAnsi"/>
        </w:rPr>
        <w:t xml:space="preserve">en </w:t>
      </w:r>
      <w:r w:rsidR="00465B43">
        <w:rPr>
          <w:rFonts w:asciiTheme="minorHAnsi" w:hAnsiTheme="minorHAnsi"/>
        </w:rPr>
        <w:t>el área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00DD55C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63067E5" w14:textId="4A0E834D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9CFEE60" w14:textId="28F8A4B4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5D36056" w14:textId="7923A000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6BE1B41" w14:textId="2628852D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B89CCC9" w14:textId="7082391F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ED64F13" w14:textId="0EA46CA3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4E86FCC" w14:textId="77777777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AB763D9" w14:textId="3C7045C2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425C79C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191A17">
        <w:rPr>
          <w:rFonts w:asciiTheme="minorHAnsi" w:hAnsiTheme="minorHAnsi"/>
        </w:rPr>
        <w:t>SALUD PÚBLICA</w:t>
      </w:r>
      <w:r w:rsidRPr="008D532F">
        <w:rPr>
          <w:rFonts w:asciiTheme="minorHAnsi" w:hAnsiTheme="minorHAnsi"/>
        </w:rPr>
        <w:t xml:space="preserve"> 2022.</w:t>
      </w:r>
    </w:p>
    <w:p w14:paraId="332423E9" w14:textId="020836C4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029B94D" w14:textId="2BB67D03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E6973B" w14:textId="77777777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52AD25A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D47EBE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D47EBE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B48FA"/>
    <w:rsid w:val="000D4B06"/>
    <w:rsid w:val="000E2E17"/>
    <w:rsid w:val="000F51C4"/>
    <w:rsid w:val="001721EE"/>
    <w:rsid w:val="001733EF"/>
    <w:rsid w:val="001906FF"/>
    <w:rsid w:val="00191A17"/>
    <w:rsid w:val="001C53BE"/>
    <w:rsid w:val="00247AA9"/>
    <w:rsid w:val="003C6D77"/>
    <w:rsid w:val="003D5BCA"/>
    <w:rsid w:val="00465B43"/>
    <w:rsid w:val="00486B93"/>
    <w:rsid w:val="0048759D"/>
    <w:rsid w:val="00490708"/>
    <w:rsid w:val="005031CB"/>
    <w:rsid w:val="00566EC9"/>
    <w:rsid w:val="0057327A"/>
    <w:rsid w:val="005D710D"/>
    <w:rsid w:val="005D71EC"/>
    <w:rsid w:val="006003EF"/>
    <w:rsid w:val="00610E78"/>
    <w:rsid w:val="00616986"/>
    <w:rsid w:val="00641B4A"/>
    <w:rsid w:val="006853D4"/>
    <w:rsid w:val="006C10CA"/>
    <w:rsid w:val="00731524"/>
    <w:rsid w:val="00766FF3"/>
    <w:rsid w:val="007D4EF9"/>
    <w:rsid w:val="00812465"/>
    <w:rsid w:val="00821625"/>
    <w:rsid w:val="0084252A"/>
    <w:rsid w:val="00846DA3"/>
    <w:rsid w:val="00847A8E"/>
    <w:rsid w:val="00850F42"/>
    <w:rsid w:val="0086065E"/>
    <w:rsid w:val="00866B61"/>
    <w:rsid w:val="0088128B"/>
    <w:rsid w:val="00892806"/>
    <w:rsid w:val="008A1FC1"/>
    <w:rsid w:val="008D532F"/>
    <w:rsid w:val="00904967"/>
    <w:rsid w:val="00945DEC"/>
    <w:rsid w:val="00982406"/>
    <w:rsid w:val="009A4683"/>
    <w:rsid w:val="009B19C4"/>
    <w:rsid w:val="009F4AB9"/>
    <w:rsid w:val="00A22A7C"/>
    <w:rsid w:val="00AE4CD7"/>
    <w:rsid w:val="00B14B1B"/>
    <w:rsid w:val="00B15C11"/>
    <w:rsid w:val="00B3259A"/>
    <w:rsid w:val="00BA34CE"/>
    <w:rsid w:val="00BC79C1"/>
    <w:rsid w:val="00BD5815"/>
    <w:rsid w:val="00C078EA"/>
    <w:rsid w:val="00C10532"/>
    <w:rsid w:val="00C25FB8"/>
    <w:rsid w:val="00C30D1E"/>
    <w:rsid w:val="00C46B61"/>
    <w:rsid w:val="00C55F73"/>
    <w:rsid w:val="00C8222B"/>
    <w:rsid w:val="00C91355"/>
    <w:rsid w:val="00CB4737"/>
    <w:rsid w:val="00CB6404"/>
    <w:rsid w:val="00D21AC8"/>
    <w:rsid w:val="00D47EBE"/>
    <w:rsid w:val="00D60113"/>
    <w:rsid w:val="00DE72E1"/>
    <w:rsid w:val="00DE7DB2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2B8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12</cp:revision>
  <dcterms:created xsi:type="dcterms:W3CDTF">2021-12-06T21:43:00Z</dcterms:created>
  <dcterms:modified xsi:type="dcterms:W3CDTF">2021-12-07T20:06:00Z</dcterms:modified>
</cp:coreProperties>
</file>