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2936" w14:textId="77777777" w:rsidR="000675C3" w:rsidRDefault="000675C3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val="es-CL" w:eastAsia="es-CL"/>
        </w:rPr>
        <w:drawing>
          <wp:inline distT="0" distB="0" distL="0" distR="0" wp14:anchorId="18C19BF5" wp14:editId="5688B4D5">
            <wp:extent cx="1685303" cy="701749"/>
            <wp:effectExtent l="19050" t="0" r="0" b="0"/>
            <wp:docPr id="1" name="0 Imagen" descr="TEC-MED-BLANCO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-MED-BLANCO 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89" cy="7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B92F4" w14:textId="6497BE3A" w:rsidR="00F045E6" w:rsidRPr="00D71F62" w:rsidRDefault="00F045E6" w:rsidP="00F045E6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D71F62">
        <w:rPr>
          <w:rFonts w:ascii="Calibri" w:eastAsia="Calibri" w:hAnsi="Calibri" w:cs="Calibri"/>
          <w:b/>
          <w:color w:val="000000"/>
          <w:sz w:val="28"/>
          <w:szCs w:val="28"/>
        </w:rPr>
        <w:t>CONCURSO EXTERNO</w:t>
      </w:r>
    </w:p>
    <w:p w14:paraId="6A0184E3" w14:textId="6CCFCF96" w:rsidR="00F045E6" w:rsidRPr="00D71F62" w:rsidRDefault="00F045E6" w:rsidP="00F045E6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D71F62">
        <w:rPr>
          <w:rFonts w:ascii="Calibri" w:eastAsia="Calibri" w:hAnsi="Calibri" w:cs="Calibri"/>
          <w:b/>
          <w:color w:val="000000"/>
          <w:sz w:val="28"/>
          <w:szCs w:val="28"/>
        </w:rPr>
        <w:t xml:space="preserve">Llamado a presentación y evaluación de antecedentes para el Cargo de Académico(a) </w:t>
      </w:r>
      <w:r w:rsidR="00B8652B" w:rsidRPr="00D71F62">
        <w:rPr>
          <w:rFonts w:ascii="Calibri" w:eastAsia="Calibri" w:hAnsi="Calibri" w:cs="Calibri"/>
          <w:b/>
          <w:color w:val="000000"/>
          <w:sz w:val="28"/>
          <w:szCs w:val="28"/>
        </w:rPr>
        <w:t>Tres cuartos</w:t>
      </w:r>
      <w:r w:rsidRPr="00D71F62">
        <w:rPr>
          <w:rFonts w:ascii="Calibri" w:eastAsia="Calibri" w:hAnsi="Calibri" w:cs="Calibri"/>
          <w:b/>
          <w:color w:val="000000"/>
          <w:sz w:val="28"/>
          <w:szCs w:val="28"/>
        </w:rPr>
        <w:t xml:space="preserve"> Jornada Docente</w:t>
      </w:r>
      <w:r w:rsidR="00B8652B" w:rsidRPr="00D71F62">
        <w:rPr>
          <w:rFonts w:ascii="Calibri" w:eastAsia="Calibri" w:hAnsi="Calibri" w:cs="Calibri"/>
          <w:b/>
          <w:color w:val="000000"/>
          <w:sz w:val="28"/>
          <w:szCs w:val="28"/>
        </w:rPr>
        <w:t xml:space="preserve"> para línea disciplinar de Microbiología Clínica</w:t>
      </w:r>
      <w:r w:rsidRPr="00D71F62">
        <w:rPr>
          <w:rFonts w:ascii="Calibri" w:eastAsia="Calibri" w:hAnsi="Calibri" w:cs="Calibri"/>
          <w:b/>
          <w:color w:val="000000"/>
          <w:sz w:val="28"/>
          <w:szCs w:val="28"/>
        </w:rPr>
        <w:t>.</w:t>
      </w:r>
    </w:p>
    <w:p w14:paraId="742B3570" w14:textId="77777777" w:rsidR="00F045E6" w:rsidRDefault="00F045E6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</w:p>
    <w:p w14:paraId="62A2002C" w14:textId="4EE009B0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Santiago, </w:t>
      </w:r>
      <w:r w:rsidR="00F20586">
        <w:rPr>
          <w:rFonts w:asciiTheme="minorHAnsi" w:hAnsiTheme="minorHAnsi"/>
        </w:rPr>
        <w:t>03 junio</w:t>
      </w:r>
      <w:r w:rsidR="008976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202</w:t>
      </w:r>
      <w:r w:rsidR="000E63F2">
        <w:rPr>
          <w:rFonts w:asciiTheme="minorHAnsi" w:hAnsiTheme="minorHAnsi"/>
        </w:rPr>
        <w:t>6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28D588C7" w14:textId="6A9CA77E" w:rsidR="00C80437" w:rsidRPr="003C6D77" w:rsidRDefault="003C6D77" w:rsidP="00C80437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0E2E17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</w:t>
      </w:r>
      <w:r w:rsidR="00476139">
        <w:rPr>
          <w:rFonts w:asciiTheme="minorHAnsi" w:hAnsiTheme="minorHAnsi"/>
        </w:rPr>
        <w:t xml:space="preserve"> P</w:t>
      </w:r>
      <w:r w:rsidRPr="003C6D77">
        <w:rPr>
          <w:rFonts w:asciiTheme="minorHAnsi" w:hAnsiTheme="minorHAnsi"/>
        </w:rPr>
        <w:t>rofesor</w:t>
      </w:r>
      <w:r w:rsidR="000E63F2">
        <w:rPr>
          <w:rFonts w:asciiTheme="minorHAnsi" w:hAnsiTheme="minorHAnsi"/>
        </w:rPr>
        <w:t>/a</w:t>
      </w:r>
      <w:r w:rsidRPr="003C6D77">
        <w:rPr>
          <w:rFonts w:asciiTheme="minorHAnsi" w:hAnsiTheme="minorHAnsi"/>
        </w:rPr>
        <w:t xml:space="preserve"> </w:t>
      </w:r>
      <w:r w:rsidR="00EE7DCB">
        <w:rPr>
          <w:rFonts w:asciiTheme="minorHAnsi" w:hAnsiTheme="minorHAnsi"/>
        </w:rPr>
        <w:t>Jornada Docente</w:t>
      </w:r>
      <w:r w:rsidR="00EE7DCB" w:rsidRPr="003C6D77">
        <w:rPr>
          <w:rFonts w:asciiTheme="minorHAnsi" w:hAnsiTheme="minorHAnsi"/>
        </w:rPr>
        <w:t xml:space="preserve"> </w:t>
      </w:r>
      <w:r w:rsidRPr="003C6D77">
        <w:rPr>
          <w:rFonts w:asciiTheme="minorHAnsi" w:hAnsiTheme="minorHAnsi"/>
        </w:rPr>
        <w:t xml:space="preserve">de </w:t>
      </w:r>
      <w:r w:rsidR="000E2E17">
        <w:rPr>
          <w:rFonts w:asciiTheme="minorHAnsi" w:hAnsiTheme="minorHAnsi"/>
        </w:rPr>
        <w:t>asignatura</w:t>
      </w:r>
      <w:r w:rsidR="00C34981">
        <w:rPr>
          <w:rFonts w:asciiTheme="minorHAnsi" w:hAnsiTheme="minorHAnsi"/>
        </w:rPr>
        <w:t>s</w:t>
      </w:r>
      <w:r w:rsidR="000E2E17">
        <w:rPr>
          <w:rFonts w:asciiTheme="minorHAnsi" w:hAnsiTheme="minorHAnsi"/>
        </w:rPr>
        <w:t xml:space="preserve"> </w:t>
      </w:r>
      <w:r w:rsidR="00C34981">
        <w:rPr>
          <w:rFonts w:asciiTheme="minorHAnsi" w:hAnsiTheme="minorHAnsi"/>
        </w:rPr>
        <w:t>de la línea disciplinar de Microbiología Clínica</w:t>
      </w:r>
      <w:r w:rsidR="000E2E17">
        <w:rPr>
          <w:rFonts w:asciiTheme="minorHAnsi" w:hAnsiTheme="minorHAnsi"/>
        </w:rPr>
        <w:t>, perteneciente a</w:t>
      </w:r>
      <w:r w:rsidR="000E63F2">
        <w:rPr>
          <w:rFonts w:asciiTheme="minorHAnsi" w:hAnsiTheme="minorHAnsi"/>
        </w:rPr>
        <w:t xml:space="preserve">l área de </w:t>
      </w:r>
      <w:r w:rsidR="00B967C4">
        <w:rPr>
          <w:rFonts w:asciiTheme="minorHAnsi" w:hAnsiTheme="minorHAnsi"/>
        </w:rPr>
        <w:t>mención de Bioanálisis Clínico y Medicina Transfusional</w:t>
      </w:r>
      <w:r w:rsidR="00C80437" w:rsidRPr="003C6D77">
        <w:rPr>
          <w:rFonts w:asciiTheme="minorHAnsi" w:hAnsiTheme="minorHAnsi"/>
        </w:rPr>
        <w:t xml:space="preserve"> de la carrera</w:t>
      </w:r>
      <w:r w:rsidR="00970ECB">
        <w:rPr>
          <w:rFonts w:asciiTheme="minorHAnsi" w:hAnsiTheme="minorHAnsi"/>
        </w:rPr>
        <w:t>.</w:t>
      </w:r>
      <w:r w:rsidR="008F57A2">
        <w:rPr>
          <w:rFonts w:asciiTheme="minorHAnsi" w:hAnsiTheme="minorHAnsi"/>
        </w:rPr>
        <w:t xml:space="preserve"> </w:t>
      </w:r>
      <w:r w:rsidR="008F57A2" w:rsidRPr="008F57A2">
        <w:rPr>
          <w:rFonts w:asciiTheme="minorHAnsi" w:hAnsiTheme="minorHAnsi"/>
        </w:rPr>
        <w:t xml:space="preserve">La fecha inicio del contrato es a partir del </w:t>
      </w:r>
      <w:r w:rsidR="00590035">
        <w:rPr>
          <w:rFonts w:asciiTheme="minorHAnsi" w:hAnsiTheme="minorHAnsi"/>
        </w:rPr>
        <w:t>3</w:t>
      </w:r>
      <w:r w:rsidR="008F57A2" w:rsidRPr="008F57A2">
        <w:rPr>
          <w:rFonts w:asciiTheme="minorHAnsi" w:hAnsiTheme="minorHAnsi"/>
        </w:rPr>
        <w:t xml:space="preserve"> de agosto 202</w:t>
      </w:r>
      <w:r w:rsidR="00645037">
        <w:rPr>
          <w:rFonts w:asciiTheme="minorHAnsi" w:hAnsiTheme="minorHAnsi"/>
        </w:rPr>
        <w:t>6</w:t>
      </w:r>
      <w:r w:rsidR="008F57A2" w:rsidRPr="008F57A2">
        <w:rPr>
          <w:rFonts w:asciiTheme="minorHAnsi" w:hAnsiTheme="minorHAnsi"/>
        </w:rPr>
        <w:t>. El contrato será por 6 meses y tras una evaluación el(la) académico(a) pasará a tener un contrato de carácter indefinido</w:t>
      </w:r>
      <w:r w:rsidR="00FF32C6">
        <w:rPr>
          <w:rFonts w:asciiTheme="minorHAnsi" w:hAnsiTheme="minorHAnsi"/>
        </w:rPr>
        <w:t>.</w:t>
      </w:r>
    </w:p>
    <w:p w14:paraId="4750856E" w14:textId="41DB3D4E" w:rsidR="003C6D77" w:rsidRPr="00C46B61" w:rsidRDefault="00D16E38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Funciones Por Desempeñar</w:t>
      </w:r>
      <w:r>
        <w:rPr>
          <w:rFonts w:asciiTheme="minorHAnsi" w:hAnsiTheme="minorHAnsi"/>
          <w:b/>
          <w:bCs/>
        </w:rPr>
        <w:t xml:space="preserve">: </w:t>
      </w:r>
      <w:r w:rsidRPr="00D16E38">
        <w:rPr>
          <w:rFonts w:asciiTheme="minorHAnsi" w:hAnsiTheme="minorHAnsi"/>
          <w:b/>
          <w:bCs/>
        </w:rPr>
        <w:t>Cargo Jornada Docente</w:t>
      </w:r>
    </w:p>
    <w:p w14:paraId="1BC6E542" w14:textId="77777777" w:rsidR="00227F5F" w:rsidRDefault="00227F5F" w:rsidP="00E2054E">
      <w:pPr>
        <w:pStyle w:val="NormalWeb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Principales responsabilidades:</w:t>
      </w:r>
    </w:p>
    <w:p w14:paraId="6C607A65" w14:textId="65C9C108" w:rsidR="003C6D77" w:rsidRPr="003C6D77" w:rsidRDefault="001F6EAD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Coordinar y d</w:t>
      </w:r>
      <w:r w:rsidR="00C80437">
        <w:rPr>
          <w:rFonts w:asciiTheme="minorHAnsi" w:hAnsiTheme="minorHAnsi"/>
        </w:rPr>
        <w:t xml:space="preserve">ictar </w:t>
      </w:r>
      <w:r w:rsidR="00D6398B">
        <w:rPr>
          <w:rFonts w:asciiTheme="minorHAnsi" w:hAnsiTheme="minorHAnsi"/>
        </w:rPr>
        <w:t xml:space="preserve">en formato presencial </w:t>
      </w:r>
      <w:r w:rsidR="00C80437">
        <w:rPr>
          <w:rFonts w:asciiTheme="minorHAnsi" w:hAnsiTheme="minorHAnsi"/>
        </w:rPr>
        <w:t xml:space="preserve">clases </w:t>
      </w:r>
      <w:r w:rsidR="000E63F2">
        <w:rPr>
          <w:rFonts w:asciiTheme="minorHAnsi" w:hAnsiTheme="minorHAnsi"/>
        </w:rPr>
        <w:t xml:space="preserve">teóricas y </w:t>
      </w:r>
      <w:r w:rsidR="007603BD">
        <w:rPr>
          <w:rFonts w:asciiTheme="minorHAnsi" w:hAnsiTheme="minorHAnsi"/>
        </w:rPr>
        <w:t>laboratorios</w:t>
      </w:r>
      <w:r w:rsidR="002B1A13">
        <w:rPr>
          <w:rFonts w:asciiTheme="minorHAnsi" w:hAnsiTheme="minorHAnsi"/>
        </w:rPr>
        <w:t xml:space="preserve"> </w:t>
      </w:r>
      <w:r w:rsidR="00C80437">
        <w:rPr>
          <w:rFonts w:asciiTheme="minorHAnsi" w:hAnsiTheme="minorHAnsi"/>
        </w:rPr>
        <w:t xml:space="preserve">de </w:t>
      </w:r>
      <w:r w:rsidR="00335123">
        <w:rPr>
          <w:rFonts w:asciiTheme="minorHAnsi" w:hAnsiTheme="minorHAnsi"/>
        </w:rPr>
        <w:t>las asignaturas de la línea disciplinar de Microbiología Clínica</w:t>
      </w:r>
      <w:r w:rsidR="00566EC9">
        <w:rPr>
          <w:rFonts w:asciiTheme="minorHAnsi" w:hAnsiTheme="minorHAnsi"/>
        </w:rPr>
        <w:t xml:space="preserve"> </w:t>
      </w:r>
      <w:r w:rsidR="002B1A13">
        <w:rPr>
          <w:rFonts w:asciiTheme="minorHAnsi" w:hAnsiTheme="minorHAnsi"/>
        </w:rPr>
        <w:t>en</w:t>
      </w:r>
      <w:r w:rsidR="00750E83">
        <w:rPr>
          <w:rFonts w:asciiTheme="minorHAnsi" w:hAnsiTheme="minorHAnsi"/>
        </w:rPr>
        <w:t xml:space="preserve"> </w:t>
      </w:r>
      <w:r w:rsidR="003C6D77" w:rsidRPr="003C6D77">
        <w:rPr>
          <w:rFonts w:asciiTheme="minorHAnsi" w:hAnsiTheme="minorHAnsi"/>
        </w:rPr>
        <w:t xml:space="preserve">la Escuela de </w:t>
      </w:r>
      <w:r w:rsidR="00566EC9">
        <w:rPr>
          <w:rFonts w:asciiTheme="minorHAnsi" w:hAnsiTheme="minorHAnsi"/>
        </w:rPr>
        <w:t>Tecnología Médica</w:t>
      </w:r>
      <w:r w:rsidR="003C6D77" w:rsidRPr="003C6D77">
        <w:rPr>
          <w:rFonts w:asciiTheme="minorHAnsi" w:hAnsiTheme="minorHAnsi"/>
        </w:rPr>
        <w:t>, Universidad Diego Portales</w:t>
      </w:r>
      <w:r w:rsidR="0040230F">
        <w:rPr>
          <w:rFonts w:asciiTheme="minorHAnsi" w:hAnsiTheme="minorHAnsi"/>
        </w:rPr>
        <w:t xml:space="preserve">, formando parte de un equipo de docentes del </w:t>
      </w:r>
      <w:r w:rsidR="00762891">
        <w:rPr>
          <w:rFonts w:asciiTheme="minorHAnsi" w:hAnsiTheme="minorHAnsi"/>
        </w:rPr>
        <w:t>área</w:t>
      </w:r>
      <w:r w:rsidR="003C6D77" w:rsidRPr="003C6D7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5C44A6">
        <w:rPr>
          <w:rFonts w:asciiTheme="minorHAnsi" w:hAnsiTheme="minorHAnsi"/>
        </w:rPr>
        <w:t xml:space="preserve">La docencia </w:t>
      </w:r>
      <w:r w:rsidR="002B3B19">
        <w:rPr>
          <w:rFonts w:asciiTheme="minorHAnsi" w:hAnsiTheme="minorHAnsi"/>
        </w:rPr>
        <w:t xml:space="preserve">contempla </w:t>
      </w:r>
      <w:r w:rsidR="00030A51">
        <w:rPr>
          <w:rFonts w:asciiTheme="minorHAnsi" w:hAnsiTheme="minorHAnsi"/>
        </w:rPr>
        <w:t xml:space="preserve">¾ </w:t>
      </w:r>
      <w:r w:rsidR="002B3B19">
        <w:rPr>
          <w:rFonts w:asciiTheme="minorHAnsi" w:hAnsiTheme="minorHAnsi"/>
        </w:rPr>
        <w:t>Jornada</w:t>
      </w:r>
      <w:r w:rsidR="00030A51">
        <w:rPr>
          <w:rFonts w:asciiTheme="minorHAnsi" w:hAnsiTheme="minorHAnsi"/>
        </w:rPr>
        <w:t xml:space="preserve"> de dedicación</w:t>
      </w:r>
      <w:r w:rsidR="00874224">
        <w:rPr>
          <w:rFonts w:asciiTheme="minorHAnsi" w:hAnsiTheme="minorHAnsi"/>
        </w:rPr>
        <w:t>, equivalente a 18 sesiones (80 minutos cada sesión) por semana.</w:t>
      </w:r>
    </w:p>
    <w:p w14:paraId="17B54B5E" w14:textId="3C53EC52" w:rsidR="00ED60BD" w:rsidRDefault="00500557" w:rsidP="00ED60BD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Dentro de sus funciones </w:t>
      </w:r>
      <w:r w:rsidR="00F04BED">
        <w:rPr>
          <w:rFonts w:asciiTheme="minorHAnsi" w:hAnsiTheme="minorHAnsi"/>
        </w:rPr>
        <w:t>estará también el participar en procesos de admisión</w:t>
      </w:r>
      <w:r w:rsidR="00B97BFC">
        <w:rPr>
          <w:rFonts w:asciiTheme="minorHAnsi" w:hAnsiTheme="minorHAnsi"/>
        </w:rPr>
        <w:t xml:space="preserve"> estudiantil, </w:t>
      </w:r>
      <w:r w:rsidR="008712A8">
        <w:rPr>
          <w:rFonts w:asciiTheme="minorHAnsi" w:hAnsiTheme="minorHAnsi"/>
        </w:rPr>
        <w:t>Ferias de Salud</w:t>
      </w:r>
      <w:r w:rsidR="004B5F72">
        <w:rPr>
          <w:rFonts w:asciiTheme="minorHAnsi" w:hAnsiTheme="minorHAnsi"/>
        </w:rPr>
        <w:t xml:space="preserve">, </w:t>
      </w:r>
      <w:r w:rsidR="00D91F09">
        <w:rPr>
          <w:rFonts w:asciiTheme="minorHAnsi" w:hAnsiTheme="minorHAnsi"/>
        </w:rPr>
        <w:t>Charlas</w:t>
      </w:r>
      <w:r w:rsidR="00125557">
        <w:rPr>
          <w:rFonts w:asciiTheme="minorHAnsi" w:hAnsiTheme="minorHAnsi"/>
        </w:rPr>
        <w:t xml:space="preserve">, </w:t>
      </w:r>
      <w:r w:rsidR="004B5F72">
        <w:rPr>
          <w:rFonts w:asciiTheme="minorHAnsi" w:hAnsiTheme="minorHAnsi"/>
        </w:rPr>
        <w:t xml:space="preserve">y otras actividades </w:t>
      </w:r>
      <w:r w:rsidR="000D1CF9">
        <w:rPr>
          <w:rFonts w:asciiTheme="minorHAnsi" w:hAnsiTheme="minorHAnsi"/>
        </w:rPr>
        <w:t xml:space="preserve">de convocatoria </w:t>
      </w:r>
      <w:r w:rsidR="00312F54">
        <w:rPr>
          <w:rFonts w:asciiTheme="minorHAnsi" w:hAnsiTheme="minorHAnsi"/>
        </w:rPr>
        <w:t>de las Unidades Académicas</w:t>
      </w:r>
      <w:r w:rsidR="00D91F09">
        <w:rPr>
          <w:rFonts w:asciiTheme="minorHAnsi" w:hAnsiTheme="minorHAnsi"/>
        </w:rPr>
        <w:t>.</w:t>
      </w:r>
      <w:r w:rsidR="00761D32">
        <w:rPr>
          <w:rFonts w:asciiTheme="minorHAnsi" w:hAnsiTheme="minorHAnsi"/>
        </w:rPr>
        <w:t xml:space="preserve"> </w:t>
      </w:r>
    </w:p>
    <w:p w14:paraId="40B954F0" w14:textId="2FE856A2" w:rsidR="003C6D77" w:rsidRPr="003C6D77" w:rsidRDefault="003C6D77" w:rsidP="00570AD0">
      <w:pPr>
        <w:pStyle w:val="NormalWeb"/>
        <w:ind w:left="709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El cargo considera horas de </w:t>
      </w:r>
      <w:r w:rsidR="00FD31C5">
        <w:rPr>
          <w:rFonts w:asciiTheme="minorHAnsi" w:hAnsiTheme="minorHAnsi"/>
        </w:rPr>
        <w:t>c</w:t>
      </w:r>
      <w:r w:rsidR="00970ECB" w:rsidRPr="00570AD0">
        <w:rPr>
          <w:rFonts w:asciiTheme="minorHAnsi" w:hAnsiTheme="minorHAnsi"/>
        </w:rPr>
        <w:t xml:space="preserve">oordinación de </w:t>
      </w:r>
      <w:r w:rsidR="00FD31C5">
        <w:rPr>
          <w:rFonts w:asciiTheme="minorHAnsi" w:hAnsiTheme="minorHAnsi"/>
        </w:rPr>
        <w:t xml:space="preserve">las </w:t>
      </w:r>
      <w:r w:rsidR="00970ECB" w:rsidRPr="00570AD0">
        <w:rPr>
          <w:rFonts w:asciiTheme="minorHAnsi" w:hAnsiTheme="minorHAnsi"/>
        </w:rPr>
        <w:t>asignatura</w:t>
      </w:r>
      <w:r w:rsidR="00367ABE" w:rsidRPr="00570AD0">
        <w:rPr>
          <w:rFonts w:asciiTheme="minorHAnsi" w:hAnsiTheme="minorHAnsi"/>
        </w:rPr>
        <w:t>s</w:t>
      </w:r>
      <w:r w:rsidR="00970ECB" w:rsidRPr="003C08D3">
        <w:rPr>
          <w:rFonts w:asciiTheme="minorHAnsi" w:hAnsiTheme="minorHAnsi"/>
        </w:rPr>
        <w:t xml:space="preserve">, </w:t>
      </w:r>
      <w:r w:rsidRPr="00570AD0">
        <w:rPr>
          <w:rFonts w:asciiTheme="minorHAnsi" w:hAnsiTheme="minorHAnsi"/>
        </w:rPr>
        <w:t>docencia directa, preparación de clases</w:t>
      </w:r>
      <w:r w:rsidR="005E01B9">
        <w:rPr>
          <w:rFonts w:asciiTheme="minorHAnsi" w:hAnsiTheme="minorHAnsi"/>
        </w:rPr>
        <w:t xml:space="preserve"> y laboratorios</w:t>
      </w:r>
      <w:r w:rsidRPr="00570AD0">
        <w:rPr>
          <w:rFonts w:asciiTheme="minorHAnsi" w:hAnsiTheme="minorHAnsi"/>
        </w:rPr>
        <w:t>, atención de estudiantes</w:t>
      </w:r>
      <w:r w:rsidR="00E07ABF" w:rsidRPr="00570AD0">
        <w:rPr>
          <w:rFonts w:asciiTheme="minorHAnsi" w:hAnsiTheme="minorHAnsi"/>
        </w:rPr>
        <w:t>, preparación</w:t>
      </w:r>
      <w:r w:rsidR="00970ECB" w:rsidRPr="00570AD0">
        <w:rPr>
          <w:rFonts w:asciiTheme="minorHAnsi" w:hAnsiTheme="minorHAnsi"/>
        </w:rPr>
        <w:t>,</w:t>
      </w:r>
      <w:r w:rsidR="00E07ABF" w:rsidRPr="00570AD0">
        <w:rPr>
          <w:rFonts w:asciiTheme="minorHAnsi" w:hAnsiTheme="minorHAnsi"/>
        </w:rPr>
        <w:t xml:space="preserve"> revisión </w:t>
      </w:r>
      <w:r w:rsidR="00970ECB" w:rsidRPr="00570AD0">
        <w:rPr>
          <w:rFonts w:asciiTheme="minorHAnsi" w:hAnsiTheme="minorHAnsi"/>
        </w:rPr>
        <w:t xml:space="preserve">y retroalimentación </w:t>
      </w:r>
      <w:r w:rsidR="00E07ABF" w:rsidRPr="00570AD0">
        <w:rPr>
          <w:rFonts w:asciiTheme="minorHAnsi" w:hAnsiTheme="minorHAnsi"/>
        </w:rPr>
        <w:t>de evaluaciones</w:t>
      </w:r>
      <w:r w:rsidRPr="00570AD0">
        <w:rPr>
          <w:rFonts w:asciiTheme="minorHAnsi" w:hAnsiTheme="minorHAnsi"/>
        </w:rPr>
        <w:t>, asistencia a reuniones</w:t>
      </w:r>
      <w:r w:rsidRPr="003C6D77">
        <w:rPr>
          <w:rFonts w:asciiTheme="minorHAnsi" w:hAnsiTheme="minorHAnsi"/>
        </w:rPr>
        <w:t xml:space="preserve"> con la </w:t>
      </w:r>
      <w:r w:rsidR="00866B61">
        <w:rPr>
          <w:rFonts w:asciiTheme="minorHAnsi" w:hAnsiTheme="minorHAnsi"/>
        </w:rPr>
        <w:t>D</w:t>
      </w:r>
      <w:r w:rsidRPr="003C6D77">
        <w:rPr>
          <w:rFonts w:asciiTheme="minorHAnsi" w:hAnsiTheme="minorHAnsi"/>
        </w:rPr>
        <w:t xml:space="preserve">irección de </w:t>
      </w:r>
      <w:r w:rsidR="00866B61">
        <w:rPr>
          <w:rFonts w:asciiTheme="minorHAnsi" w:hAnsiTheme="minorHAnsi"/>
        </w:rPr>
        <w:t>E</w:t>
      </w:r>
      <w:r w:rsidRPr="003C6D77">
        <w:rPr>
          <w:rFonts w:asciiTheme="minorHAnsi" w:hAnsiTheme="minorHAnsi"/>
        </w:rPr>
        <w:t>scuela</w:t>
      </w:r>
      <w:r w:rsidR="00866B61">
        <w:rPr>
          <w:rFonts w:asciiTheme="minorHAnsi" w:hAnsiTheme="minorHAnsi"/>
        </w:rPr>
        <w:t xml:space="preserve">, </w:t>
      </w:r>
      <w:r w:rsidR="003C005B">
        <w:rPr>
          <w:rFonts w:asciiTheme="minorHAnsi" w:hAnsiTheme="minorHAnsi"/>
        </w:rPr>
        <w:t xml:space="preserve">todo lo cual está </w:t>
      </w:r>
      <w:r w:rsidR="00866B61">
        <w:rPr>
          <w:rFonts w:asciiTheme="minorHAnsi" w:hAnsiTheme="minorHAnsi"/>
        </w:rPr>
        <w:t>dentro de l</w:t>
      </w:r>
      <w:r w:rsidR="00FF5327">
        <w:rPr>
          <w:rFonts w:asciiTheme="minorHAnsi" w:hAnsiTheme="minorHAnsi"/>
        </w:rPr>
        <w:t>as remuneraciones</w:t>
      </w:r>
      <w:r w:rsidR="00866B61">
        <w:rPr>
          <w:rFonts w:asciiTheme="minorHAnsi" w:hAnsiTheme="minorHAnsi"/>
        </w:rPr>
        <w:t xml:space="preserve"> a cancelar mensualmente.</w:t>
      </w:r>
    </w:p>
    <w:p w14:paraId="56BB5EAD" w14:textId="77777777" w:rsidR="008E021C" w:rsidRDefault="008E021C" w:rsidP="00E2054E">
      <w:pPr>
        <w:pStyle w:val="NormalWeb"/>
        <w:jc w:val="both"/>
        <w:rPr>
          <w:rFonts w:asciiTheme="minorHAnsi" w:hAnsiTheme="minorHAnsi"/>
        </w:rPr>
      </w:pPr>
    </w:p>
    <w:p w14:paraId="67B22A7F" w14:textId="780E46B4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lastRenderedPageBreak/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1958DA90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AF5C58" w:rsidRPr="00AF5C58">
        <w:rPr>
          <w:rFonts w:asciiTheme="minorHAnsi" w:hAnsiTheme="minorHAnsi"/>
        </w:rPr>
        <w:t xml:space="preserve">Tecnólogo(a) Médico(a) mención </w:t>
      </w:r>
      <w:r w:rsidR="0051420D">
        <w:rPr>
          <w:rFonts w:asciiTheme="minorHAnsi" w:hAnsiTheme="minorHAnsi"/>
        </w:rPr>
        <w:t>Laboratorio Clínico, Hematología y Medicina Transfusional</w:t>
      </w:r>
      <w:r w:rsidR="00970ECB">
        <w:rPr>
          <w:rFonts w:asciiTheme="minorHAnsi" w:hAnsiTheme="minorHAnsi"/>
        </w:rPr>
        <w:t xml:space="preserve"> </w:t>
      </w:r>
      <w:r w:rsidR="0051420D">
        <w:rPr>
          <w:rFonts w:asciiTheme="minorHAnsi" w:hAnsiTheme="minorHAnsi"/>
        </w:rPr>
        <w:t>(Excluyente).</w:t>
      </w:r>
    </w:p>
    <w:p w14:paraId="76C1FD96" w14:textId="6807BB94" w:rsidR="0051420D" w:rsidRDefault="00616986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8A4CEC">
        <w:rPr>
          <w:rFonts w:asciiTheme="minorHAnsi" w:hAnsiTheme="minorHAnsi"/>
        </w:rPr>
        <w:t>Poseer Diplomado o Magíster en Docencia Universitaria</w:t>
      </w:r>
      <w:r w:rsidR="0051420D">
        <w:rPr>
          <w:rFonts w:asciiTheme="minorHAnsi" w:hAnsiTheme="minorHAnsi"/>
        </w:rPr>
        <w:t xml:space="preserve"> (Excluyente).</w:t>
      </w:r>
    </w:p>
    <w:p w14:paraId="6A0F1969" w14:textId="6DBFBA48" w:rsidR="00E2054E" w:rsidRPr="00E2054E" w:rsidRDefault="0051420D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</w:t>
      </w:r>
      <w:r w:rsidR="00E07AB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Poseer </w:t>
      </w:r>
      <w:r w:rsidR="00E07ABF">
        <w:rPr>
          <w:rFonts w:asciiTheme="minorHAnsi" w:hAnsiTheme="minorHAnsi"/>
        </w:rPr>
        <w:t xml:space="preserve">Magister </w:t>
      </w:r>
      <w:r>
        <w:rPr>
          <w:rFonts w:asciiTheme="minorHAnsi" w:hAnsiTheme="minorHAnsi"/>
        </w:rPr>
        <w:t xml:space="preserve">o Doctorado </w:t>
      </w:r>
      <w:r w:rsidR="009C59BE">
        <w:rPr>
          <w:rFonts w:asciiTheme="minorHAnsi" w:hAnsiTheme="minorHAnsi"/>
        </w:rPr>
        <w:t>en Microbiología</w:t>
      </w:r>
      <w:r>
        <w:rPr>
          <w:rFonts w:asciiTheme="minorHAnsi" w:hAnsiTheme="minorHAnsi"/>
        </w:rPr>
        <w:t xml:space="preserve"> (Excluyente).</w:t>
      </w:r>
    </w:p>
    <w:p w14:paraId="604EBEC3" w14:textId="6796E4A8" w:rsidR="00E2054E" w:rsidRPr="00E2054E" w:rsidRDefault="0051420D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3842F8">
        <w:rPr>
          <w:rFonts w:asciiTheme="minorHAnsi" w:hAnsiTheme="minorHAnsi"/>
        </w:rPr>
        <w:t xml:space="preserve">) </w:t>
      </w:r>
      <w:r w:rsidR="00AF5C58">
        <w:rPr>
          <w:rFonts w:asciiTheme="minorHAnsi" w:hAnsiTheme="minorHAnsi"/>
        </w:rPr>
        <w:t>Poseer m</w:t>
      </w:r>
      <w:r w:rsidR="00AF5C58" w:rsidRPr="00AF5C58">
        <w:rPr>
          <w:rFonts w:asciiTheme="minorHAnsi" w:hAnsiTheme="minorHAnsi"/>
        </w:rPr>
        <w:t xml:space="preserve">ínimo </w:t>
      </w:r>
      <w:r w:rsidR="000124EC">
        <w:rPr>
          <w:rFonts w:asciiTheme="minorHAnsi" w:hAnsiTheme="minorHAnsi"/>
        </w:rPr>
        <w:t xml:space="preserve">cinco </w:t>
      </w:r>
      <w:r>
        <w:rPr>
          <w:rFonts w:asciiTheme="minorHAnsi" w:hAnsiTheme="minorHAnsi"/>
        </w:rPr>
        <w:t>(</w:t>
      </w:r>
      <w:r w:rsidR="000124EC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) </w:t>
      </w:r>
      <w:r w:rsidR="00AF5C58" w:rsidRPr="00AF5C58">
        <w:rPr>
          <w:rFonts w:asciiTheme="minorHAnsi" w:hAnsiTheme="minorHAnsi"/>
        </w:rPr>
        <w:t xml:space="preserve">años de ejercicio </w:t>
      </w:r>
      <w:r w:rsidR="000535A6">
        <w:rPr>
          <w:rFonts w:asciiTheme="minorHAnsi" w:hAnsiTheme="minorHAnsi"/>
        </w:rPr>
        <w:t>en el área de</w:t>
      </w:r>
      <w:r w:rsidR="00E07ABF">
        <w:rPr>
          <w:rFonts w:asciiTheme="minorHAnsi" w:hAnsiTheme="minorHAnsi"/>
        </w:rPr>
        <w:t xml:space="preserve"> </w:t>
      </w:r>
      <w:r w:rsidR="000124EC">
        <w:rPr>
          <w:rFonts w:asciiTheme="minorHAnsi" w:hAnsiTheme="minorHAnsi"/>
        </w:rPr>
        <w:t>Microbiología Clínica</w:t>
      </w:r>
      <w:r>
        <w:rPr>
          <w:rFonts w:asciiTheme="minorHAnsi" w:hAnsiTheme="minorHAnsi"/>
        </w:rPr>
        <w:t xml:space="preserve"> (Excluyente)</w:t>
      </w:r>
      <w:r w:rsidR="006D5C95">
        <w:rPr>
          <w:rFonts w:asciiTheme="minorHAnsi" w:hAnsiTheme="minorHAnsi"/>
        </w:rPr>
        <w:t>.</w:t>
      </w:r>
    </w:p>
    <w:p w14:paraId="47F93514" w14:textId="4CDC55E1" w:rsidR="00E2054E" w:rsidRDefault="0051420D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E2054E" w:rsidRPr="00E2054E">
        <w:rPr>
          <w:rFonts w:asciiTheme="minorHAnsi" w:hAnsiTheme="minorHAnsi"/>
        </w:rPr>
        <w:t xml:space="preserve">) </w:t>
      </w:r>
      <w:r w:rsidR="00233450">
        <w:rPr>
          <w:rFonts w:asciiTheme="minorHAnsi" w:hAnsiTheme="minorHAnsi"/>
        </w:rPr>
        <w:t xml:space="preserve">Poseer </w:t>
      </w:r>
      <w:r w:rsidR="003323E9">
        <w:rPr>
          <w:rFonts w:asciiTheme="minorHAnsi" w:hAnsiTheme="minorHAnsi"/>
        </w:rPr>
        <w:t xml:space="preserve">mínimo tres (3) años de </w:t>
      </w:r>
      <w:r w:rsidR="00233450">
        <w:rPr>
          <w:rFonts w:asciiTheme="minorHAnsi" w:hAnsiTheme="minorHAnsi"/>
        </w:rPr>
        <w:t>e</w:t>
      </w:r>
      <w:r w:rsidR="00E2054E" w:rsidRPr="00E2054E">
        <w:rPr>
          <w:rFonts w:asciiTheme="minorHAnsi" w:hAnsiTheme="minorHAnsi"/>
        </w:rPr>
        <w:t>xperiencia en docencia académica universitaria</w:t>
      </w:r>
      <w:r>
        <w:rPr>
          <w:rFonts w:asciiTheme="minorHAnsi" w:hAnsiTheme="minorHAnsi"/>
        </w:rPr>
        <w:t xml:space="preserve"> (Excluyente)</w:t>
      </w:r>
      <w:r w:rsidR="00E2054E" w:rsidRPr="00E2054E">
        <w:rPr>
          <w:rFonts w:asciiTheme="minorHAnsi" w:hAnsiTheme="minorHAnsi"/>
        </w:rPr>
        <w:t>.</w:t>
      </w:r>
    </w:p>
    <w:p w14:paraId="200D61DE" w14:textId="77777777" w:rsidR="00C55F73" w:rsidRDefault="00C55F73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2EFDA603" w:rsidR="00E2054E" w:rsidRP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</w:t>
      </w:r>
      <w:r w:rsidR="0028717C">
        <w:rPr>
          <w:rFonts w:asciiTheme="minorHAnsi" w:hAnsiTheme="minorHAnsi"/>
        </w:rPr>
        <w:t xml:space="preserve"> </w:t>
      </w:r>
      <w:r w:rsidRPr="00E2054E">
        <w:rPr>
          <w:rFonts w:asciiTheme="minorHAnsi" w:hAnsiTheme="minorHAnsi"/>
        </w:rPr>
        <w:t>(la) postulante deberá acompañar:</w:t>
      </w:r>
    </w:p>
    <w:p w14:paraId="3AB763D9" w14:textId="3C7045C2" w:rsidR="00E2054E" w:rsidRPr="00E2054E" w:rsidRDefault="00E2054E" w:rsidP="00233450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217E02C2" w:rsidR="00E2054E" w:rsidRPr="00E2054E" w:rsidRDefault="00E2054E" w:rsidP="00233450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título profesional.</w:t>
      </w:r>
    </w:p>
    <w:p w14:paraId="10C0A3A3" w14:textId="14406B5F" w:rsidR="00E2054E" w:rsidRPr="00E2054E" w:rsidRDefault="00E2054E" w:rsidP="00233450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c) Copia</w:t>
      </w:r>
      <w:r w:rsidR="0051420D">
        <w:rPr>
          <w:rFonts w:asciiTheme="minorHAnsi" w:hAnsiTheme="minorHAnsi"/>
        </w:rPr>
        <w:t>s</w:t>
      </w:r>
      <w:r w:rsidRPr="00E2054E">
        <w:rPr>
          <w:rFonts w:asciiTheme="minorHAnsi" w:hAnsiTheme="minorHAnsi"/>
        </w:rPr>
        <w:t xml:space="preserve"> de grado</w:t>
      </w:r>
      <w:r w:rsidR="0051420D">
        <w:rPr>
          <w:rFonts w:asciiTheme="minorHAnsi" w:hAnsiTheme="minorHAnsi"/>
        </w:rPr>
        <w:t>s</w:t>
      </w:r>
      <w:r w:rsidRPr="00E2054E">
        <w:rPr>
          <w:rFonts w:asciiTheme="minorHAnsi" w:hAnsiTheme="minorHAnsi"/>
        </w:rPr>
        <w:t xml:space="preserve"> académico</w:t>
      </w:r>
      <w:r w:rsidR="0051420D">
        <w:rPr>
          <w:rFonts w:asciiTheme="minorHAnsi" w:hAnsiTheme="minorHAnsi"/>
        </w:rPr>
        <w:t>s</w:t>
      </w:r>
      <w:r w:rsidRPr="00E2054E">
        <w:rPr>
          <w:rFonts w:asciiTheme="minorHAnsi" w:hAnsiTheme="minorHAnsi"/>
        </w:rPr>
        <w:t xml:space="preserve"> de post título, magister o doctorado.</w:t>
      </w:r>
    </w:p>
    <w:p w14:paraId="49524BC7" w14:textId="77777777" w:rsidR="00E2054E" w:rsidRDefault="00E2054E" w:rsidP="00233450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Acreditación de experiencia en docencia universitaria.</w:t>
      </w:r>
    </w:p>
    <w:p w14:paraId="2953C023" w14:textId="1BEE4ACE" w:rsidR="00A617D8" w:rsidRPr="00E2054E" w:rsidRDefault="00A617D8" w:rsidP="00233450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e) </w:t>
      </w:r>
      <w:r w:rsidR="00725E3D">
        <w:rPr>
          <w:rFonts w:asciiTheme="minorHAnsi" w:hAnsiTheme="minorHAnsi"/>
        </w:rPr>
        <w:t>Evaluaciones docentes Universitarias.</w:t>
      </w:r>
    </w:p>
    <w:p w14:paraId="6A6FB8D2" w14:textId="77777777" w:rsidR="00E07ABF" w:rsidRDefault="00E07ABF" w:rsidP="000B2E35">
      <w:pPr>
        <w:ind w:left="708"/>
        <w:jc w:val="both"/>
        <w:rPr>
          <w:sz w:val="24"/>
          <w:szCs w:val="24"/>
        </w:rPr>
      </w:pPr>
    </w:p>
    <w:p w14:paraId="7A207D07" w14:textId="3A6B19C2" w:rsidR="000B2E35" w:rsidRDefault="000B2E35" w:rsidP="00FA5E32">
      <w:pPr>
        <w:jc w:val="both"/>
        <w:rPr>
          <w:sz w:val="24"/>
          <w:szCs w:val="24"/>
        </w:rPr>
      </w:pPr>
      <w:r>
        <w:rPr>
          <w:sz w:val="24"/>
          <w:szCs w:val="24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70DD7C00" w14:textId="725BC3DF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2AB21FD6" w14:textId="5F6D32A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a) </w:t>
      </w:r>
      <w:proofErr w:type="spellStart"/>
      <w:r w:rsidRPr="008D532F">
        <w:rPr>
          <w:rFonts w:asciiTheme="minorHAnsi" w:hAnsiTheme="minorHAnsi"/>
        </w:rPr>
        <w:t>Pre-selección</w:t>
      </w:r>
      <w:proofErr w:type="spellEnd"/>
      <w:r w:rsidRPr="008D532F">
        <w:rPr>
          <w:rFonts w:asciiTheme="minorHAnsi" w:hAnsiTheme="minorHAnsi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0E7C1E54" w14:textId="40FAD115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</w:t>
      </w:r>
      <w:r w:rsidR="008A4CEC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</w:t>
      </w:r>
      <w:r w:rsidR="008A4CEC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>(</w:t>
      </w:r>
      <w:r w:rsidR="008A4CEC">
        <w:rPr>
          <w:rFonts w:asciiTheme="minorHAnsi" w:hAnsiTheme="minorHAnsi"/>
        </w:rPr>
        <w:t>la</w:t>
      </w:r>
      <w:r w:rsidRPr="008D532F">
        <w:rPr>
          <w:rFonts w:asciiTheme="minorHAnsi" w:hAnsiTheme="minorHAnsi"/>
        </w:rPr>
        <w:t xml:space="preserve">s) postulantes </w:t>
      </w:r>
      <w:proofErr w:type="spellStart"/>
      <w:r w:rsidRPr="008D532F">
        <w:rPr>
          <w:rFonts w:asciiTheme="minorHAnsi" w:hAnsiTheme="minorHAnsi"/>
        </w:rPr>
        <w:t>pre-seleccionad</w:t>
      </w:r>
      <w:r w:rsidR="008A4CEC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</w:t>
      </w:r>
      <w:proofErr w:type="spellEnd"/>
      <w:r w:rsidRPr="008D532F">
        <w:rPr>
          <w:rFonts w:asciiTheme="minorHAnsi" w:hAnsiTheme="minorHAnsi"/>
        </w:rPr>
        <w:t>(</w:t>
      </w:r>
      <w:r w:rsidR="008A4CEC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>s).</w:t>
      </w:r>
    </w:p>
    <w:p w14:paraId="17A6D6E3" w14:textId="6E1DBF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c) Entrevista: </w:t>
      </w:r>
      <w:r w:rsidR="008A4CEC">
        <w:rPr>
          <w:rFonts w:asciiTheme="minorHAnsi" w:hAnsiTheme="minorHAnsi"/>
        </w:rPr>
        <w:t>e</w:t>
      </w:r>
      <w:r w:rsidRPr="008D532F">
        <w:rPr>
          <w:rFonts w:asciiTheme="minorHAnsi" w:hAnsiTheme="minorHAnsi"/>
        </w:rPr>
        <w:t>n esa entrevista, además de constatar las aptitudes para el cargo de los(as) postulantes preseleccionados, se analizará con ellos(as) las condiciones laborales en que desempeñarían el cargo.</w:t>
      </w:r>
    </w:p>
    <w:p w14:paraId="55C1E885" w14:textId="6FDA2E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29129AD6" w14:textId="77777777" w:rsidR="00FA5E32" w:rsidRDefault="00FA5E32" w:rsidP="008D532F">
      <w:pPr>
        <w:pStyle w:val="NormalWeb"/>
        <w:jc w:val="both"/>
        <w:rPr>
          <w:rFonts w:asciiTheme="minorHAnsi" w:hAnsiTheme="minorHAnsi"/>
        </w:rPr>
      </w:pPr>
    </w:p>
    <w:p w14:paraId="0B02109C" w14:textId="30543218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lastRenderedPageBreak/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8D532F" w14:paraId="6C603B02" w14:textId="77777777" w:rsidTr="00AF051E">
        <w:tc>
          <w:tcPr>
            <w:tcW w:w="4246" w:type="dxa"/>
          </w:tcPr>
          <w:p w14:paraId="54FFF425" w14:textId="112A37C9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248" w:type="dxa"/>
          </w:tcPr>
          <w:p w14:paraId="7A460CA6" w14:textId="3379A4AA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AF051E">
        <w:tc>
          <w:tcPr>
            <w:tcW w:w="4246" w:type="dxa"/>
          </w:tcPr>
          <w:p w14:paraId="42C49B8F" w14:textId="47D605A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248" w:type="dxa"/>
          </w:tcPr>
          <w:p w14:paraId="0B90A314" w14:textId="0A0FDA1F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AF051E">
        <w:tc>
          <w:tcPr>
            <w:tcW w:w="4246" w:type="dxa"/>
          </w:tcPr>
          <w:p w14:paraId="417FE98B" w14:textId="62877D97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248" w:type="dxa"/>
          </w:tcPr>
          <w:p w14:paraId="632F5ECC" w14:textId="3089BA53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AF051E">
        <w:tc>
          <w:tcPr>
            <w:tcW w:w="4246" w:type="dxa"/>
          </w:tcPr>
          <w:p w14:paraId="69C2C2AB" w14:textId="6E6A983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Experiencia en Docencia universitaria</w:t>
            </w:r>
          </w:p>
        </w:tc>
        <w:tc>
          <w:tcPr>
            <w:tcW w:w="4248" w:type="dxa"/>
          </w:tcPr>
          <w:p w14:paraId="6FB2FB4D" w14:textId="612DF61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AF051E">
        <w:tc>
          <w:tcPr>
            <w:tcW w:w="4246" w:type="dxa"/>
          </w:tcPr>
          <w:p w14:paraId="30F1404F" w14:textId="5DDDF54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248" w:type="dxa"/>
          </w:tcPr>
          <w:p w14:paraId="323CE347" w14:textId="044B6D39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2DA5B39B" w14:textId="77777777" w:rsidR="00AF051E" w:rsidRDefault="00AF051E" w:rsidP="00AF05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14:paraId="285A4532" w14:textId="21E6C87A" w:rsidR="00AF051E" w:rsidRPr="003E3D04" w:rsidRDefault="00AF051E" w:rsidP="00AF05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 w:rsidRPr="003E3D04">
        <w:rPr>
          <w:rFonts w:ascii="Calibri" w:eastAsia="Calibri" w:hAnsi="Calibri" w:cs="Calibri"/>
          <w:b/>
          <w:color w:val="000000"/>
        </w:rPr>
        <w:t>En cualquier etapa del proceso, la Comisión puede declarar desierto el concurso.</w:t>
      </w:r>
    </w:p>
    <w:p w14:paraId="07AAEC5C" w14:textId="77777777" w:rsidR="00AF051E" w:rsidRDefault="00AF051E" w:rsidP="008D532F">
      <w:pPr>
        <w:pStyle w:val="NormalWeb"/>
        <w:jc w:val="both"/>
        <w:rPr>
          <w:rFonts w:asciiTheme="minorHAnsi" w:hAnsiTheme="minorHAnsi"/>
        </w:rPr>
      </w:pPr>
    </w:p>
    <w:p w14:paraId="6FFB50CE" w14:textId="42F801AA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6B798A0E" w14:textId="2A3F7C00" w:rsidR="00300B27" w:rsidRPr="00300B27" w:rsidRDefault="008D532F" w:rsidP="00300B27">
      <w:pPr>
        <w:pStyle w:val="NormalWeb"/>
        <w:spacing w:after="0"/>
      </w:pPr>
      <w:r w:rsidRPr="008D532F">
        <w:rPr>
          <w:rFonts w:asciiTheme="minorHAnsi" w:hAnsiTheme="minorHAnsi"/>
        </w:rPr>
        <w:t xml:space="preserve">a. </w:t>
      </w:r>
      <w:r w:rsidR="00787B2B" w:rsidRPr="00787B2B">
        <w:rPr>
          <w:rFonts w:asciiTheme="minorHAnsi" w:hAnsiTheme="minorHAnsi" w:cstheme="minorHAnsi"/>
        </w:rPr>
        <w:t xml:space="preserve">Las postulaciones a este Concurso deben ser enviadas al correo electrónico </w:t>
      </w:r>
      <w:hyperlink r:id="rId6" w:history="1">
        <w:r w:rsidR="00787B2B" w:rsidRPr="00787B2B">
          <w:rPr>
            <w:rStyle w:val="Hipervnculo"/>
            <w:rFonts w:asciiTheme="minorHAnsi" w:hAnsiTheme="minorHAnsi" w:cstheme="minorHAnsi"/>
          </w:rPr>
          <w:t>angelica.sepulveda@udp.cl</w:t>
        </w:r>
      </w:hyperlink>
      <w:r w:rsidR="00787B2B" w:rsidRPr="00787B2B">
        <w:rPr>
          <w:rFonts w:asciiTheme="minorHAnsi" w:hAnsiTheme="minorHAnsi" w:cstheme="minorHAnsi"/>
        </w:rPr>
        <w:t xml:space="preserve">  con ASUNTO: </w:t>
      </w:r>
      <w:r w:rsidR="00787B2B" w:rsidRPr="00787B2B">
        <w:rPr>
          <w:rFonts w:asciiTheme="minorHAnsi" w:hAnsiTheme="minorHAnsi" w:cstheme="minorHAnsi"/>
          <w:b/>
          <w:bCs/>
        </w:rPr>
        <w:t>Concurso Profesor(a) Microbiología Clínica 2026. (No subir información a la Plataforma de Trabajando.com)</w:t>
      </w:r>
      <w:r w:rsidR="00300B27" w:rsidRPr="00300B27">
        <w:rPr>
          <w:rFonts w:asciiTheme="minorHAnsi" w:hAnsiTheme="minorHAnsi" w:cstheme="minorHAnsi"/>
        </w:rPr>
        <w:t>.</w:t>
      </w:r>
    </w:p>
    <w:p w14:paraId="128367A6" w14:textId="56E1E53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28043833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C96A67">
        <w:rPr>
          <w:rFonts w:asciiTheme="minorHAnsi" w:hAnsiTheme="minorHAnsi"/>
          <w:b/>
          <w:bCs/>
        </w:rPr>
        <w:t>lunes 22</w:t>
      </w:r>
      <w:r w:rsidR="00AF5C58">
        <w:rPr>
          <w:rFonts w:asciiTheme="minorHAnsi" w:hAnsiTheme="minorHAnsi"/>
          <w:b/>
          <w:bCs/>
        </w:rPr>
        <w:t xml:space="preserve"> de </w:t>
      </w:r>
      <w:r w:rsidR="00DA3FEE">
        <w:rPr>
          <w:rFonts w:asciiTheme="minorHAnsi" w:hAnsiTheme="minorHAnsi"/>
          <w:b/>
          <w:bCs/>
        </w:rPr>
        <w:t>junio</w:t>
      </w:r>
      <w:r w:rsidRPr="00E928CB">
        <w:rPr>
          <w:rFonts w:asciiTheme="minorHAnsi" w:hAnsiTheme="minorHAnsi"/>
          <w:b/>
          <w:bCs/>
        </w:rPr>
        <w:t xml:space="preserve"> 202</w:t>
      </w:r>
      <w:r w:rsidR="00FA5E32">
        <w:rPr>
          <w:rFonts w:asciiTheme="minorHAnsi" w:hAnsiTheme="minorHAnsi"/>
          <w:b/>
          <w:bCs/>
        </w:rPr>
        <w:t>6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C96A67">
        <w:rPr>
          <w:rFonts w:asciiTheme="minorHAnsi" w:hAnsiTheme="minorHAnsi"/>
          <w:b/>
          <w:bCs/>
        </w:rPr>
        <w:t>8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6F9594CC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CE4D22">
        <w:rPr>
          <w:rFonts w:asciiTheme="minorHAnsi" w:hAnsiTheme="minorHAnsi"/>
        </w:rPr>
        <w:t xml:space="preserve"> </w:t>
      </w:r>
      <w:r w:rsidR="000B2E35">
        <w:rPr>
          <w:rFonts w:asciiTheme="minorHAnsi" w:hAnsiTheme="minorHAnsi"/>
        </w:rPr>
        <w:t>docencia</w:t>
      </w:r>
      <w:r w:rsidRPr="008D532F">
        <w:rPr>
          <w:rFonts w:asciiTheme="minorHAnsi" w:hAnsiTheme="minorHAnsi"/>
        </w:rPr>
        <w:t>: 0</w:t>
      </w:r>
      <w:r w:rsidR="00C96A67">
        <w:rPr>
          <w:rFonts w:asciiTheme="minorHAnsi" w:hAnsiTheme="minorHAnsi"/>
        </w:rPr>
        <w:t>3</w:t>
      </w:r>
      <w:r w:rsidRPr="008D532F">
        <w:rPr>
          <w:rFonts w:asciiTheme="minorHAnsi" w:hAnsiTheme="minorHAnsi"/>
        </w:rPr>
        <w:t xml:space="preserve"> de </w:t>
      </w:r>
      <w:r w:rsidR="004C3406">
        <w:rPr>
          <w:rFonts w:asciiTheme="minorHAnsi" w:hAnsiTheme="minorHAnsi"/>
        </w:rPr>
        <w:t>agosto</w:t>
      </w:r>
      <w:r w:rsidR="006C55E0" w:rsidRPr="008D532F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>de 202</w:t>
      </w:r>
      <w:r w:rsidR="006C55E0">
        <w:rPr>
          <w:rFonts w:asciiTheme="minorHAnsi" w:hAnsiTheme="minorHAnsi"/>
        </w:rPr>
        <w:t>6</w:t>
      </w:r>
      <w:r w:rsidRPr="008D532F">
        <w:rPr>
          <w:rFonts w:asciiTheme="minorHAnsi" w:hAnsiTheme="minorHAnsi"/>
        </w:rPr>
        <w:t>.</w:t>
      </w:r>
    </w:p>
    <w:p w14:paraId="3F522FAE" w14:textId="77777777" w:rsidR="00FA5E32" w:rsidRDefault="00FA5E32" w:rsidP="00FA5E32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FA2223E" w14:textId="77777777" w:rsidR="00FA5E32" w:rsidRDefault="00FA5E32" w:rsidP="00FA5E32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3854324" w14:textId="77777777" w:rsidR="00423CC8" w:rsidRDefault="00423CC8" w:rsidP="00FA5E32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0BA6B15" w14:textId="243A9F04" w:rsidR="00FA5E32" w:rsidRPr="00E2054E" w:rsidRDefault="00FA5E32" w:rsidP="00FA5E32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A5E32">
        <w:rPr>
          <w:rFonts w:asciiTheme="minorHAnsi" w:hAnsiTheme="minorHAnsi"/>
        </w:rPr>
        <w:t>"Las personas que avancen en su postulación serán contactadas, por lo que no se responderán consultas relativas a esta convocatoria ni antes, durante, ni después de finalizado el proceso".</w:t>
      </w:r>
    </w:p>
    <w:sectPr w:rsidR="00FA5E32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230"/>
    <w:multiLevelType w:val="multilevel"/>
    <w:tmpl w:val="D7AC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28C8"/>
    <w:multiLevelType w:val="hybridMultilevel"/>
    <w:tmpl w:val="60BC82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44D9"/>
    <w:multiLevelType w:val="multilevel"/>
    <w:tmpl w:val="E50E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6EE0"/>
    <w:multiLevelType w:val="hybridMultilevel"/>
    <w:tmpl w:val="C40697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582D"/>
    <w:multiLevelType w:val="multilevel"/>
    <w:tmpl w:val="FEE6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D4968"/>
    <w:multiLevelType w:val="hybridMultilevel"/>
    <w:tmpl w:val="D56879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5616E4"/>
    <w:multiLevelType w:val="hybridMultilevel"/>
    <w:tmpl w:val="2780A8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816D4"/>
    <w:multiLevelType w:val="hybridMultilevel"/>
    <w:tmpl w:val="E2AA3C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8628875">
    <w:abstractNumId w:val="11"/>
  </w:num>
  <w:num w:numId="2" w16cid:durableId="1934245901">
    <w:abstractNumId w:val="3"/>
  </w:num>
  <w:num w:numId="3" w16cid:durableId="1609971584">
    <w:abstractNumId w:val="8"/>
  </w:num>
  <w:num w:numId="4" w16cid:durableId="848522168">
    <w:abstractNumId w:val="13"/>
  </w:num>
  <w:num w:numId="5" w16cid:durableId="1489785166">
    <w:abstractNumId w:val="9"/>
  </w:num>
  <w:num w:numId="6" w16cid:durableId="1096901105">
    <w:abstractNumId w:val="6"/>
  </w:num>
  <w:num w:numId="7" w16cid:durableId="321197695">
    <w:abstractNumId w:val="7"/>
  </w:num>
  <w:num w:numId="8" w16cid:durableId="1208685362">
    <w:abstractNumId w:val="5"/>
  </w:num>
  <w:num w:numId="9" w16cid:durableId="437681306">
    <w:abstractNumId w:val="12"/>
  </w:num>
  <w:num w:numId="10" w16cid:durableId="294333048">
    <w:abstractNumId w:val="1"/>
  </w:num>
  <w:num w:numId="11" w16cid:durableId="234314788">
    <w:abstractNumId w:val="2"/>
  </w:num>
  <w:num w:numId="12" w16cid:durableId="1206405047">
    <w:abstractNumId w:val="0"/>
  </w:num>
  <w:num w:numId="13" w16cid:durableId="2031296496">
    <w:abstractNumId w:val="10"/>
  </w:num>
  <w:num w:numId="14" w16cid:durableId="85769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4E"/>
    <w:rsid w:val="000039EC"/>
    <w:rsid w:val="00003C5F"/>
    <w:rsid w:val="000124EC"/>
    <w:rsid w:val="00022E90"/>
    <w:rsid w:val="00030A51"/>
    <w:rsid w:val="00051461"/>
    <w:rsid w:val="000535A6"/>
    <w:rsid w:val="000675C3"/>
    <w:rsid w:val="00070A18"/>
    <w:rsid w:val="000946CD"/>
    <w:rsid w:val="000960B4"/>
    <w:rsid w:val="00097235"/>
    <w:rsid w:val="000B2E35"/>
    <w:rsid w:val="000D1CB4"/>
    <w:rsid w:val="000D1CF9"/>
    <w:rsid w:val="000D4B06"/>
    <w:rsid w:val="000E2E17"/>
    <w:rsid w:val="000E63F2"/>
    <w:rsid w:val="000F51C4"/>
    <w:rsid w:val="000F69AF"/>
    <w:rsid w:val="00111D11"/>
    <w:rsid w:val="00125557"/>
    <w:rsid w:val="00147928"/>
    <w:rsid w:val="00163960"/>
    <w:rsid w:val="001671F5"/>
    <w:rsid w:val="00167921"/>
    <w:rsid w:val="001733EF"/>
    <w:rsid w:val="00183704"/>
    <w:rsid w:val="001906FF"/>
    <w:rsid w:val="00196737"/>
    <w:rsid w:val="001C53BE"/>
    <w:rsid w:val="001E67F5"/>
    <w:rsid w:val="001F6EAD"/>
    <w:rsid w:val="00207677"/>
    <w:rsid w:val="00215E37"/>
    <w:rsid w:val="00227883"/>
    <w:rsid w:val="00227F5F"/>
    <w:rsid w:val="002312F2"/>
    <w:rsid w:val="00233450"/>
    <w:rsid w:val="00247AA9"/>
    <w:rsid w:val="0028717C"/>
    <w:rsid w:val="002A06A2"/>
    <w:rsid w:val="002B1A13"/>
    <w:rsid w:val="002B3B19"/>
    <w:rsid w:val="00300B27"/>
    <w:rsid w:val="00312F54"/>
    <w:rsid w:val="003323E9"/>
    <w:rsid w:val="00335123"/>
    <w:rsid w:val="00340CBF"/>
    <w:rsid w:val="00347C65"/>
    <w:rsid w:val="00351383"/>
    <w:rsid w:val="00367ABE"/>
    <w:rsid w:val="003842F8"/>
    <w:rsid w:val="00385ACA"/>
    <w:rsid w:val="003C005B"/>
    <w:rsid w:val="003C08D3"/>
    <w:rsid w:val="003C6B42"/>
    <w:rsid w:val="003C6D77"/>
    <w:rsid w:val="003D5BCA"/>
    <w:rsid w:val="003F7414"/>
    <w:rsid w:val="0040230F"/>
    <w:rsid w:val="00423CC8"/>
    <w:rsid w:val="0044059B"/>
    <w:rsid w:val="00442DCB"/>
    <w:rsid w:val="00476139"/>
    <w:rsid w:val="00483131"/>
    <w:rsid w:val="0048759D"/>
    <w:rsid w:val="004A0405"/>
    <w:rsid w:val="004B0D58"/>
    <w:rsid w:val="004B5F72"/>
    <w:rsid w:val="004C3406"/>
    <w:rsid w:val="004D14F2"/>
    <w:rsid w:val="004E1EC3"/>
    <w:rsid w:val="00500557"/>
    <w:rsid w:val="00511AEA"/>
    <w:rsid w:val="0051420D"/>
    <w:rsid w:val="005253B2"/>
    <w:rsid w:val="00545A75"/>
    <w:rsid w:val="00560C31"/>
    <w:rsid w:val="00566EC9"/>
    <w:rsid w:val="00570AD0"/>
    <w:rsid w:val="0058316F"/>
    <w:rsid w:val="00583EA4"/>
    <w:rsid w:val="00590035"/>
    <w:rsid w:val="005B3E6F"/>
    <w:rsid w:val="005C44A6"/>
    <w:rsid w:val="005D710D"/>
    <w:rsid w:val="005E01B9"/>
    <w:rsid w:val="005F2E35"/>
    <w:rsid w:val="005F40F6"/>
    <w:rsid w:val="006003EF"/>
    <w:rsid w:val="00602A71"/>
    <w:rsid w:val="00610E78"/>
    <w:rsid w:val="006168DE"/>
    <w:rsid w:val="00616986"/>
    <w:rsid w:val="00641B4A"/>
    <w:rsid w:val="00645037"/>
    <w:rsid w:val="00655248"/>
    <w:rsid w:val="006853D4"/>
    <w:rsid w:val="006C10CA"/>
    <w:rsid w:val="006C55E0"/>
    <w:rsid w:val="006D5C95"/>
    <w:rsid w:val="006F6E2E"/>
    <w:rsid w:val="00725E3D"/>
    <w:rsid w:val="00731524"/>
    <w:rsid w:val="00750E83"/>
    <w:rsid w:val="007603BD"/>
    <w:rsid w:val="00761D32"/>
    <w:rsid w:val="00762891"/>
    <w:rsid w:val="00787B2B"/>
    <w:rsid w:val="007D012A"/>
    <w:rsid w:val="007E4388"/>
    <w:rsid w:val="007E6175"/>
    <w:rsid w:val="00812465"/>
    <w:rsid w:val="008125DC"/>
    <w:rsid w:val="00830687"/>
    <w:rsid w:val="00833797"/>
    <w:rsid w:val="0084252A"/>
    <w:rsid w:val="00847A8E"/>
    <w:rsid w:val="00850F42"/>
    <w:rsid w:val="00866B61"/>
    <w:rsid w:val="008712A8"/>
    <w:rsid w:val="00874224"/>
    <w:rsid w:val="00892806"/>
    <w:rsid w:val="008972B3"/>
    <w:rsid w:val="0089767B"/>
    <w:rsid w:val="008A1FC1"/>
    <w:rsid w:val="008A4CEC"/>
    <w:rsid w:val="008B3BD9"/>
    <w:rsid w:val="008D532F"/>
    <w:rsid w:val="008E021C"/>
    <w:rsid w:val="008F57A2"/>
    <w:rsid w:val="00904967"/>
    <w:rsid w:val="00970ECB"/>
    <w:rsid w:val="00971FC2"/>
    <w:rsid w:val="00981CF2"/>
    <w:rsid w:val="00982406"/>
    <w:rsid w:val="009A1181"/>
    <w:rsid w:val="009A4683"/>
    <w:rsid w:val="009B08F6"/>
    <w:rsid w:val="009B7561"/>
    <w:rsid w:val="009C20AF"/>
    <w:rsid w:val="009C59BE"/>
    <w:rsid w:val="009E16A9"/>
    <w:rsid w:val="009F062C"/>
    <w:rsid w:val="00A210F0"/>
    <w:rsid w:val="00A26BFC"/>
    <w:rsid w:val="00A42CC5"/>
    <w:rsid w:val="00A617D8"/>
    <w:rsid w:val="00A833FA"/>
    <w:rsid w:val="00A87A1D"/>
    <w:rsid w:val="00AA0B58"/>
    <w:rsid w:val="00AD3899"/>
    <w:rsid w:val="00AD789D"/>
    <w:rsid w:val="00AF051E"/>
    <w:rsid w:val="00AF179F"/>
    <w:rsid w:val="00AF5C58"/>
    <w:rsid w:val="00B05396"/>
    <w:rsid w:val="00B158FA"/>
    <w:rsid w:val="00B310E3"/>
    <w:rsid w:val="00B65AFB"/>
    <w:rsid w:val="00B822BB"/>
    <w:rsid w:val="00B8652B"/>
    <w:rsid w:val="00B967C4"/>
    <w:rsid w:val="00B97BFC"/>
    <w:rsid w:val="00BC79C1"/>
    <w:rsid w:val="00BD5815"/>
    <w:rsid w:val="00BE7E1A"/>
    <w:rsid w:val="00BF4A38"/>
    <w:rsid w:val="00BF78B7"/>
    <w:rsid w:val="00C078EA"/>
    <w:rsid w:val="00C10532"/>
    <w:rsid w:val="00C25FB8"/>
    <w:rsid w:val="00C34981"/>
    <w:rsid w:val="00C46B61"/>
    <w:rsid w:val="00C5352A"/>
    <w:rsid w:val="00C55F73"/>
    <w:rsid w:val="00C721CA"/>
    <w:rsid w:val="00C80437"/>
    <w:rsid w:val="00C8222B"/>
    <w:rsid w:val="00C8754A"/>
    <w:rsid w:val="00C91355"/>
    <w:rsid w:val="00C96A67"/>
    <w:rsid w:val="00CA5A2A"/>
    <w:rsid w:val="00CB4737"/>
    <w:rsid w:val="00CB6404"/>
    <w:rsid w:val="00CC3719"/>
    <w:rsid w:val="00CE2CEA"/>
    <w:rsid w:val="00CE4D22"/>
    <w:rsid w:val="00CF3181"/>
    <w:rsid w:val="00CF79F6"/>
    <w:rsid w:val="00D16E38"/>
    <w:rsid w:val="00D35198"/>
    <w:rsid w:val="00D6398B"/>
    <w:rsid w:val="00D71F62"/>
    <w:rsid w:val="00D91F09"/>
    <w:rsid w:val="00DA3FEE"/>
    <w:rsid w:val="00DB3802"/>
    <w:rsid w:val="00DF280A"/>
    <w:rsid w:val="00DF75DC"/>
    <w:rsid w:val="00E07ABF"/>
    <w:rsid w:val="00E2054E"/>
    <w:rsid w:val="00E24625"/>
    <w:rsid w:val="00E5084E"/>
    <w:rsid w:val="00E545DE"/>
    <w:rsid w:val="00E75BF8"/>
    <w:rsid w:val="00E84098"/>
    <w:rsid w:val="00E85A52"/>
    <w:rsid w:val="00E928CB"/>
    <w:rsid w:val="00E97D4D"/>
    <w:rsid w:val="00EA364E"/>
    <w:rsid w:val="00EA6982"/>
    <w:rsid w:val="00EA6EFE"/>
    <w:rsid w:val="00ED60BD"/>
    <w:rsid w:val="00EE056C"/>
    <w:rsid w:val="00EE7DCB"/>
    <w:rsid w:val="00EF59FA"/>
    <w:rsid w:val="00F045E6"/>
    <w:rsid w:val="00F04BED"/>
    <w:rsid w:val="00F10A9C"/>
    <w:rsid w:val="00F128C8"/>
    <w:rsid w:val="00F20586"/>
    <w:rsid w:val="00F416F3"/>
    <w:rsid w:val="00F513BC"/>
    <w:rsid w:val="00F5794C"/>
    <w:rsid w:val="00F64F65"/>
    <w:rsid w:val="00F87064"/>
    <w:rsid w:val="00F918F1"/>
    <w:rsid w:val="00F93EA6"/>
    <w:rsid w:val="00FA5E32"/>
    <w:rsid w:val="00FC0F02"/>
    <w:rsid w:val="00FC28E8"/>
    <w:rsid w:val="00FD31C5"/>
    <w:rsid w:val="00FE3B0C"/>
    <w:rsid w:val="00FE6F6C"/>
    <w:rsid w:val="00FE7022"/>
    <w:rsid w:val="00FF32C6"/>
    <w:rsid w:val="00FF5327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paragraph" w:styleId="Ttulo1">
    <w:name w:val="heading 1"/>
    <w:basedOn w:val="Normal"/>
    <w:next w:val="Normal"/>
    <w:link w:val="Ttulo1Car"/>
    <w:uiPriority w:val="9"/>
    <w:qFormat/>
    <w:rsid w:val="000535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C078EA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B2E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535A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CL"/>
    </w:rPr>
  </w:style>
  <w:style w:type="character" w:customStyle="1" w:styleId="PrrafodelistaCar">
    <w:name w:val="Párrafo de lista Car"/>
    <w:link w:val="Prrafodelista"/>
    <w:uiPriority w:val="34"/>
    <w:rsid w:val="00E07ABF"/>
  </w:style>
  <w:style w:type="character" w:styleId="Refdecomentario">
    <w:name w:val="annotation reference"/>
    <w:basedOn w:val="Fuentedeprrafopredeter"/>
    <w:uiPriority w:val="99"/>
    <w:semiHidden/>
    <w:unhideWhenUsed/>
    <w:rsid w:val="003C6B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6B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6B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6B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6B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Andrea Marin</cp:lastModifiedBy>
  <cp:revision>10</cp:revision>
  <dcterms:created xsi:type="dcterms:W3CDTF">2026-06-04T15:45:00Z</dcterms:created>
  <dcterms:modified xsi:type="dcterms:W3CDTF">2026-06-10T15:34:00Z</dcterms:modified>
</cp:coreProperties>
</file>